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="宋体"/>
          <w:color w:val="FF0000"/>
          <w:sz w:val="128"/>
          <w:szCs w:val="128"/>
        </w:rPr>
      </w:pPr>
      <w:bookmarkStart w:id="2" w:name="_GoBack"/>
      <w:bookmarkEnd w:id="2"/>
    </w:p>
    <w:p>
      <w:pPr>
        <w:snapToGrid w:val="0"/>
        <w:jc w:val="center"/>
        <w:rPr>
          <w:rFonts w:ascii="方正小标宋简体" w:hAnsi="华文中宋" w:eastAsia="方正小标宋简体"/>
          <w:color w:val="FF0000"/>
          <w:spacing w:val="20"/>
          <w:position w:val="-40"/>
          <w:sz w:val="120"/>
          <w:szCs w:val="120"/>
        </w:rPr>
      </w:pPr>
      <w:r>
        <w:rPr>
          <w:rFonts w:hint="eastAsia" w:ascii="方正小标宋简体" w:hAnsi="华文中宋" w:eastAsia="方正小标宋简体"/>
          <w:color w:val="FF0000"/>
          <w:spacing w:val="20"/>
          <w:position w:val="-40"/>
          <w:sz w:val="120"/>
          <w:szCs w:val="120"/>
        </w:rPr>
        <w:t>豫北医学院文件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/>
          <w:szCs w:val="32"/>
        </w:rPr>
      </w:pPr>
      <w:bookmarkStart w:id="0" w:name="doc_mark"/>
      <w:r>
        <w:rPr>
          <w:rFonts w:hint="eastAsia" w:ascii="仿宋_GB2312"/>
          <w:szCs w:val="32"/>
          <w:lang w:eastAsia="zh-CN"/>
        </w:rPr>
        <w:t>院学〔2026〕3号</w:t>
      </w:r>
      <w:bookmarkEnd w:id="0"/>
      <w:r>
        <w:rPr>
          <w:rFonts w:ascii="仿宋_GB2312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364490</wp:posOffset>
                </wp:positionV>
                <wp:extent cx="5715000" cy="1270"/>
                <wp:effectExtent l="0" t="9525" r="12065" b="16510"/>
                <wp:wrapNone/>
                <wp:docPr id="1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15000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margin-left:-1.65pt;margin-top:28.7pt;height:0.1pt;width:450pt;z-index:251659264;mso-width-relative:page;mso-height-relative:page;" filled="f" stroked="t" coordsize="21600,21600" o:gfxdata="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MbJ8X2QAAAAgBAAAPAAAAAAAAAAEAIAAAADgAAABk&#10;cnMvZG93bnJldi54bWxQSwECFAAUAAAACACHTuJA2yKxUO8BAAACBAAADgAAAAAAAAABACAAAAA+&#10;AQAAZHJzL2Uyb0RvYy54bWxQSwUGAAAAAAYABgBZAQAAnw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uppressLineNumbers w:val="0"/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240" w:lineRule="auto"/>
        <w:contextualSpacing w:val="0"/>
        <w:jc w:val="center"/>
        <w:rPr>
          <w:rFonts w:hint="eastAsia" w:ascii="仿宋_GB2312"/>
          <w:snapToGrid/>
          <w:kern w:val="2"/>
          <w:szCs w:val="32"/>
        </w:rPr>
      </w:pP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contextualSpacing w:val="0"/>
        <w:jc w:val="left"/>
        <w:textAlignment w:val="baseline"/>
        <w:rPr>
          <w:rFonts w:hint="eastAsia" w:ascii="方正小标宋简体" w:hAnsi="方正小标宋简体" w:eastAsia="方正小标宋简体" w:cs="方正小标宋简体"/>
          <w:bCs w:val="0"/>
          <w:i w:val="0"/>
          <w:caps w:val="0"/>
          <w:snapToGrid/>
          <w:color w:val="auto"/>
          <w:spacing w:val="0"/>
          <w:kern w:val="2"/>
          <w:sz w:val="44"/>
          <w:szCs w:val="44"/>
          <w:highlight w:val="none"/>
        </w:rPr>
      </w:pP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contextualSpacing w:val="0"/>
        <w:jc w:val="center"/>
        <w:rPr>
          <w:rFonts w:hint="eastAsia" w:ascii="方正小标宋简体" w:hAnsi="方正小标宋简体" w:eastAsia="方正小标宋简体" w:cs="方正小标宋简体"/>
          <w:bCs w:val="0"/>
          <w:i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ascii="方正小标宋简体" w:hAnsi="方正小标宋简体" w:eastAsia="方正小标宋简体" w:cs="方正小标宋简体"/>
          <w:snapToGrid/>
          <w:color w:val="000000"/>
          <w:kern w:val="2"/>
          <w:sz w:val="44"/>
        </w:rPr>
        <w:t>关于印发《豫北医学院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关于加强第二课堂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contextualSpacing w:val="0"/>
        <w:jc w:val="center"/>
        <w:rPr>
          <w:rFonts w:ascii="&quot;Times New Roman&quot;" w:hAnsi="&quot;Times New Roman&quot;" w:eastAsia="&quot;Times New Roman&quot;" w:cs="&quot;Times New Roman&quot;"/>
          <w:snapToGrid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育人工作的指导意见</w:t>
      </w:r>
      <w:r>
        <w:rPr>
          <w:rFonts w:ascii="方正小标宋简体" w:hAnsi="方正小标宋简体" w:eastAsia="方正小标宋简体" w:cs="方正小标宋简体"/>
          <w:snapToGrid/>
          <w:color w:val="000000"/>
          <w:kern w:val="2"/>
          <w:sz w:val="44"/>
        </w:rPr>
        <w:t>》的通知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contextualSpacing w:val="0"/>
        <w:jc w:val="both"/>
        <w:rPr>
          <w:snapToGrid/>
          <w:kern w:val="2"/>
        </w:rPr>
      </w:pP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contextualSpacing w:val="0"/>
        <w:jc w:val="both"/>
        <w:rPr>
          <w:snapToGrid/>
          <w:kern w:val="2"/>
        </w:rPr>
      </w:pPr>
      <w:r>
        <w:rPr>
          <w:rFonts w:ascii="仿宋_GB2312" w:hAnsi="仿宋_GB2312" w:eastAsia="仿宋_GB2312" w:cs="仿宋_GB2312"/>
          <w:snapToGrid/>
          <w:color w:val="000000"/>
          <w:kern w:val="2"/>
          <w:sz w:val="32"/>
        </w:rPr>
        <w:t>学校各单位：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contextualSpacing w:val="0"/>
        <w:jc w:val="both"/>
        <w:rPr>
          <w:snapToGrid/>
          <w:kern w:val="2"/>
        </w:rPr>
      </w:pPr>
      <w:r>
        <w:rPr>
          <w:rFonts w:ascii="仿宋_GB2312" w:hAnsi="仿宋_GB2312" w:eastAsia="仿宋_GB2312" w:cs="仿宋_GB2312"/>
          <w:snapToGrid/>
          <w:color w:val="000000"/>
          <w:kern w:val="2"/>
          <w:sz w:val="32"/>
        </w:rPr>
        <w:t xml:space="preserve">    现将《豫北医学院关于加强第二课堂育人工作的指导意见》印发给你们，望遵照执行。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360" w:lineRule="auto"/>
        <w:ind w:left="0" w:right="640" w:firstLine="0" w:firstLineChars="0"/>
        <w:contextualSpacing w:val="0"/>
        <w:jc w:val="both"/>
        <w:rPr>
          <w:snapToGrid/>
          <w:kern w:val="2"/>
        </w:rPr>
      </w:pP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360" w:lineRule="auto"/>
        <w:ind w:left="0" w:right="640" w:firstLine="0" w:firstLineChars="0"/>
        <w:contextualSpacing w:val="0"/>
        <w:jc w:val="center"/>
        <w:rPr>
          <w:snapToGrid/>
          <w:kern w:val="2"/>
        </w:rPr>
      </w:pP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360" w:lineRule="auto"/>
        <w:ind w:left="0" w:right="1760" w:firstLine="0" w:firstLineChars="0"/>
        <w:contextualSpacing w:val="0"/>
        <w:jc w:val="right"/>
        <w:rPr>
          <w:snapToGrid/>
          <w:kern w:val="2"/>
        </w:rPr>
      </w:pPr>
      <w:r>
        <w:rPr>
          <w:rFonts w:ascii="仿宋_GB2312" w:hAnsi="仿宋_GB2312" w:eastAsia="仿宋_GB2312" w:cs="仿宋_GB2312"/>
          <w:snapToGrid/>
          <w:color w:val="000000"/>
          <w:kern w:val="2"/>
          <w:sz w:val="32"/>
        </w:rPr>
        <w:t>豫北医学院</w:t>
      </w:r>
    </w:p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 w:val="0"/>
        <w:snapToGrid w:val="0"/>
        <w:spacing w:before="0" w:beforeAutospacing="0" w:after="0" w:afterAutospacing="0" w:line="360" w:lineRule="auto"/>
        <w:ind w:left="0" w:right="1280" w:firstLine="0" w:firstLineChars="0"/>
        <w:contextualSpacing w:val="0"/>
        <w:jc w:val="right"/>
        <w:rPr>
          <w:snapToGrid/>
          <w:kern w:val="2"/>
        </w:rPr>
      </w:pPr>
      <w:r>
        <w:rPr>
          <w:rFonts w:ascii="仿宋_GB2312" w:hAnsi="仿宋_GB2312" w:eastAsia="仿宋_GB2312" w:cs="仿宋_GB2312"/>
          <w:snapToGrid/>
          <w:color w:val="000000"/>
          <w:kern w:val="2"/>
          <w:sz w:val="32"/>
        </w:rPr>
        <w:t>2026年3月24日</w:t>
      </w: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bCs w:val="0"/>
          <w:i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bookmarkStart w:id="1" w:name="Content"/>
      <w:bookmarkEnd w:id="1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豫北医学院关于加强第二课堂育人工作的指导意见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为深入贯彻落实教育部、共青团中央《关于加强和改进高等学校校园文化建设的意见》《关于进一步加强和改进大学生社会实践的意见》《关于在高校实施共青团“第二课堂成绩单”制度的意见》及共青团河南省委相关文件精神，紧密结合学校实际，以大党建引领为核心、大思政护航为导向、大安全保障为底线，严格落实“五育并举”教育方针，进一步强化第二课堂育人功能，充分发挥第二课堂在提升学生综合素质、培育创新精神、锤炼实践能力、强化社会责任感中的核心作用，着力构建具有医学专业特色、契合医学人才成长规律的“第二课堂”人才培养体系，为培养高素质医学人才奠定坚实基础，特制定本指导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以习近平新时代中国特色社会主义思想为指导，全面贯彻党的教育方针，深入落实全国教育大会和高校思想政治工作会议精神，牢牢把握立德树人根本任务，立足学校办学定位、人才培养与“一站式”学生社区建设要求，以培育学生精湛专业技能与厚重人文情怀为核心，紧扣医学人文向健康人文转向的发展趋势，将“重视人文、融合人文、展现人文、追求人文”理念贯穿第二课堂全过程，着力推动第二课堂规范化、课程化、品牌化建设，构建第一课堂与第二课堂在育人目标、内容设计、过程管理与结果评价上深度融合、协同联动的长效育人机制，强化学生社会责任感、创新精神与实践能力，着力提升教育的温度、深度、宽度、高度，为学校高质量发展提供坚实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（一）坚持育人为本，强化价值引领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全面落实立德树人根本任务，将思想政治教育贯穿第二课堂全过程，注重塑造学生的世界观、人生观、价值观，引导学生坚定理想信念、厚植家国情怀。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（二）坚持分类设计，激发参与活力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依据不同专业、不同年级、不同兴趣学生的成长需求，设计模块化、多元化的第二课堂活动体系，建立灵活参与、自主选择、分级赋能的激励机制，充分激发学生参与的内生动力和发展潜能。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（三）坚持问题导向，注重育人实效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聚焦人才培养中的关键问题与短板，以项目为载体、以实践为路径，优化活动设计、内容供给与组织方式，强化过程管理和效果评估，推动第二课堂育人从“重形式”向“重实效”转变，持续提升育人质量与协同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（四）坚持协同联动，促进双课堂融合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加强第二课堂与第一课堂在目标、内容、评价等方面的系统衔接，推动教学单位、职能部门、书院等多方协同，构建“课内课外一体、理论实践贯通”的育人共同体，形成协同育人合力。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三、工作目标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到2030年，建成“体系健全、管理规范、保障有力、覆盖全体学生”与第一课堂深度融合的第二课堂育人体系。重点打造一批具有专业技术特色、育人实效显著、校内外有影响力的“一院一品”“一社一品”品牌项目。全面实施“第二课堂成绩单”制度，实现学生参与可记录、可评价、可呈现，并推动其在高素质人才培养、学生综合评价、评奖评优、升学就业等方面发挥实质支撑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（一）试点探索与基础建设期（2026年—2027年）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立足顶层设计，完成第二课堂体系奠基，实现阶段性的突破。在充分调研的基础上印发《豫北医学院第二课堂活动项目清单》，完成书院第二课堂培养方案的制定，形成“第二课堂成绩单”化管理理念，结合信息化管理中心，建设豫北医学院学生成长积分信息化管理平台，筑牢第二课堂育人工作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（二）全面推广与制度深化期（2028年）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出台《第二课堂成绩单管理办法》，实现第二课堂育人体系在全校范围内的全覆盖与常态化运行，建立学生组织、书院、学校三级管理网络，实现活动全流程的标准化与高效化。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（三）质量提升与特色塑造期（2029年）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推动第二课堂育人体系从“规模式增长”向“内涵式发展”转型，实现从“有”到“优”。集中资源培育一批在全校乃至全省有影响力的“金牌”活动项目，提升专业性；深度挖掘历年数据，分析学生成长轨迹，为个性化培养和学校决策提供支持；鼓励各院系开发具有学科特色的项目，形成“一院一品”的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（四）成熟运行与品牌辐射期（2030年）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聚焦提质增效与品牌塑造，让“第二课堂成绩单”在用人单位中建立起公信力；对建设成果进行系统总结，推广成熟经验，在全面评估成效的基础上，启动新一轮战略规划，确保体系的持续进化与生命力。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四、活动内容与模块划分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结合高等院校人才培养需求，构建7个活动模块，覆盖学生全面发展关键领域。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（一）思政教育模块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以价值引领为核心，通过系统化的思想政治教育，引导学生坚定理想信念、厚植家国情怀、恪守医学伦理，筑牢成长为新时代医疗卫生事业人才的思想根基。内容涵盖主题学习教育、形势政策宣讲、医学人文讲座、先进典型宣传、红色实践研学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bCs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（二）技能特长模块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围绕医学专业能力拓展与个人综合技能提升，强化学生的专业实践能力、表达协作能力及特长发展，为职业发展与终身学习奠定扎实基础。内容涵盖红十字救护培训、心肺复苏认证等相关技能培训、临床技能竞赛、护理技能竞赛、检验技能竞赛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（三）文体素养模块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促进学生身心协调发展，提升艺术审美水平、文化修养与健康素质，塑造积极向上的生活态度和健全人格。内容涵盖体育竞赛与锻炼、文艺演出与创作、经典阅读与文化沙龙、艺术鉴赏与实践、心理健康促进活动、传统文化体验与传承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（四）劳动教育模块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弘扬劳动精神，通过实践锻炼增强学生动手能力、团队协作精神与社会责任感，培养艰苦奋斗、甘于奉献的优良品质。内容涵盖校园公益劳动、大型赛事服务、社区实践、生活技能培训、劳动主题教育与体验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（五）科创培养模块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激发科研兴趣与创新思维，提升学生医学科学研究能力与技术应用水平，支持学术探索与创新实践。内容涵盖参与大学生科研立项、大学生“挑战杯”课外学术作品竞赛、学科前沿讲座、专利申请与转化指导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bCs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（六）职业发展模块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帮助学生明确职业方向，提升就业竞争力与职业生涯规划能力，实现从在校生到社会应用型人才的顺利过渡。内容涵盖职业生涯规划辅导、就业技能培训、考研与升学指导、医院与机构参访、校友交流与职场模拟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bCs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（七）社会服务模块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引导学生深入社会、服务群众，在实践奉献中增强医学人文关怀与社会责任感，践行“医者仁心”的职业使命。内容涵盖义诊与健康科普活动、社区医疗卫生服务、“三下乡”社会实践、实践类主题讲座、报告、比赛、参观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为推动大学生第二课堂工作的有效开展，学校成立大学生第二课堂工作指导领导小组。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组  长：校党委书记  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副组长：分管学生工作、教学工作副校长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 xml:space="preserve">    成  员：党委办公室、党委宣传部、校长办公室、学生处、教务处、人事处、科研处、财务处、信息化管理中心、各院（部）、各书院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领导小组主要职责：统筹规划第二课堂育人体系工作，制定总体实施方案和相关政策制度。协调解决第二课堂育人体系工作中的重大问题，优化资源配置。监督第二课堂育人体系工作的组织实施，对活动质量和成绩认证进行抽检、复审。裁决学生对第二课堂育人体系工作结果的申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领导小组下设办公室，办公室设在学生处，负责第二课堂育人工作日常管理、协调推进、监督考核等具体工作。各书院成立第二课堂工作组，负责根据学校第二课堂育人体系工作要求制定相应实施方案、管理办法，加强第二课堂育人工作体系建设，分模块打造“一院一品牌”，确保第二课堂育人工作制度落到实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六、过程管理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（一）立项管理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/>
        </w:rPr>
        <w:t>活动举办前需进行申报立项，明确活动主题、目标、内容、预算、安全保障措施及预期成效。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各申报主体围绕七大模块设计活动方案并提交申报表，经书院、学校分级审核，公示无异议后纳入学期活动计划。立项审核重点考察活动的育人导向、可行性、安全预案及与专业培养目标的契合度。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（二）组织实施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各单位制定本单位第二课堂教育活动学期计划和各项活动方案，明确活动目的、规则、程序、评判标准等。活动主办部门制订活动方案并备案审批，审批通过后按方案严格执行。活动实施过程中应配备指导教师，确保活动有序、安全、高效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（三）过程监督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建立活动过程监督机制，通过现场检查、资料抽查、学生反馈等方式，对活动实施情况进行动态监督。对发现的问题及时提出整改意见，确保活动按计划高质量完成。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（四）跟踪反馈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建立活动跟踪台账，收集主办方、指导教师、学生三方反馈。每学期开展质量评估并优化项目。完善学生参与第二课堂活动的记录机制，客观、完整、及时地记录学生参与情况、表现与成果。定期形成过程管理报告，作为持续改进的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七、评价机制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（一）实施“第二课堂成绩单”制度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全面推行“第二课堂成绩单”制度，客观记录学生在校期间参与各类活动的经历和成果。成绩单采用模块化、积分制管理，全面反映学生在思政教育、技能特长、文体素养、劳动教育、科创培养、职业发展、社会服务七大模块的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（二）量化评价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根据不同模块活动的类别、层级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、时长和成果，制定科学合理的积分换算标准。学生须在规定的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/>
        </w:rPr>
        <w:t>修业年限内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，累计获得满足综合素质评价要求的第二课堂积分。积分标准实行动态调整机制，确保评价的科学性和公平性。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（三）多维综合评价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评价内容既关注参与度（时长、次数），又关注表现与成果（获奖情况、组织角色、实践报告质量、服务对象评价等）。采用系统记录、组织方评价、学生互评、指导教师评价相结合的方式，确保评价全面、客观、准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（四）结果运用机制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“第二课堂成绩单”纳入学生综合素质测评体系，作为学生评价评奖（如奖学金、三好学生、优秀团员等）、推优入党、就业推荐等重要参考依据。将优秀“第二课堂成绩单”装入学生档案，提升其社会认可度和使用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（五）反馈与改进机制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定期对第二课堂活动效果进行评估分析，收集学生、教师、用人单位的反馈意见。建立评估结果与资源配置、项目调整的联动机制，根据评估结果，动态调整活动项目设置、积分认定标准和管理办法，持续改进第二课堂育人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八、保障措施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（一）制度保障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完善第二课堂活动相关政策制度，明确项目申报、积分认定、监督申诉、成果运用等各环节要求，确保工作有章可循。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（二）资源保障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学校设立第二课堂活动专项经费，用于平台建设、活动开展、师资劳务、表彰奖励等，配套相应经费，保障特色项目实施。统筹校内外资源，拓展实践基地、合作单位，为学生提供丰富的培养载体。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（三）队伍保障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加强管理人员和指导教师培训，明确辅导员、专业教师在第二课堂活动中的指导责任，提升专业能力和服务水平，将其工作量纳入考核评价。邀请行业专家、优秀校友等参与第二课堂活动指导工作。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（四）技术保障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开发“豫北医学院学生成长积分信息管理平台”，完善项目发布、报名参与、积分申报、审核认定、记录查询、成绩单生成等功能，实现智慧化管理和服务。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（五）监督与申诉保障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建立多级监督机制，领导小组办公室定期对积分认定情况进行抽检，各组织单位做好日常监督。设立线上申诉入口，学生对认定结果有异议的，可逐级申诉，由领导小组最终裁决。确保评价过程的公正、透明。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附件：1.豫北医学院第二课堂活动项目清单（试行）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327" w:bottom="1588" w:left="1644" w:header="720" w:footer="720" w:gutter="0"/>
          <w:cols w:space="425" w:num="1"/>
          <w:docGrid w:type="linesAndChars" w:linePitch="597" w:charSpace="-183"/>
        </w:sect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2.豫北医学院第二课堂活动积分认定细则（试行）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豫北医学院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第二课堂活动项目清单（试行）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Calibri" w:hAnsi="Calibri" w:eastAsia="Arial" w:cs="Arial"/>
          <w:b/>
          <w:snapToGrid w:val="0"/>
          <w:color w:val="000000"/>
          <w:kern w:val="0"/>
          <w:sz w:val="32"/>
          <w:szCs w:val="32"/>
          <w:highlight w:val="none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firstLine="320" w:firstLineChars="100"/>
        <w:jc w:val="left"/>
        <w:textAlignment w:val="baseline"/>
        <w:rPr>
          <w:rFonts w:hint="default" w:ascii="黑体" w:hAnsi="黑体" w:eastAsia="黑体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一</w:t>
      </w:r>
      <w:r>
        <w:rPr>
          <w:rFonts w:hint="default" w:ascii="黑体" w:hAnsi="黑体" w:eastAsia="黑体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、</w:t>
      </w:r>
      <w:r>
        <w:rPr>
          <w:rFonts w:hint="eastAsia" w:ascii="黑体" w:hAnsi="黑体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思政教育类活动（10项）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1.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理想信念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类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主题教育活动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2.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家国情怀与担当精神教育活动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3.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学风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建设类主题教育活动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4.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成长成才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类主题教育活动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5.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职业精神与职业道德教育活动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6.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科学精神与人文素养教育活动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7.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艰苦奋斗与乐观主义教育活动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8.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精神文明建设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类主题教育活动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9.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环境适应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类主题教育活动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10.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党团组织活动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leftChars="0" w:firstLine="320" w:firstLineChars="100"/>
        <w:jc w:val="both"/>
        <w:textAlignment w:val="baseline"/>
        <w:rPr>
          <w:rFonts w:hint="eastAsia" w:ascii="黑体" w:hAnsi="黑体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技能特长类活动（11项）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both"/>
        <w:textAlignment w:val="baseline"/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各专业技能培训与竞赛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both"/>
        <w:textAlignment w:val="baseline"/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医学绘图、医学模型制作技能培训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both"/>
        <w:textAlignment w:val="baseline"/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急救技能认证与培训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both"/>
        <w:textAlignment w:val="baseline"/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心肺复苏（CPR）技能培训与认证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both"/>
        <w:textAlignment w:val="baseline"/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红十字救护相关活动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both"/>
        <w:textAlignment w:val="baseline"/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急救技能大赛与应急处置演练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both"/>
        <w:textAlignment w:val="baseline"/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语言听说读写能力提升活动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both"/>
        <w:textAlignment w:val="baseline"/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8.</w:t>
      </w:r>
      <w:r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计算机与信息技术技能培训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both"/>
        <w:textAlignment w:val="baseline"/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9.</w:t>
      </w:r>
      <w:r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公文写作与表达沟通能力训练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both"/>
        <w:textAlignment w:val="baseline"/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0.</w:t>
      </w:r>
      <w:r>
        <w:rPr>
          <w:rFonts w:hint="eastAsia" w:ascii="仿宋" w:hAnsi="仿宋" w:eastAsia="仿宋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各类摄影与视频制作技能学习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1.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依据专业需求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或个人兴趣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考取资格证书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leftChars="0" w:firstLine="320" w:firstLineChars="100"/>
        <w:jc w:val="both"/>
        <w:textAlignment w:val="baseline"/>
        <w:rPr>
          <w:rFonts w:hint="eastAsia" w:ascii="黑体" w:hAnsi="黑体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文体素养类活动（12项）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各类体育竞赛与锻炼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2.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文化艺术类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演出与创作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文化艺术类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竞赛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高水平的文化艺术讲座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高水平的音乐会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心理健康教育讲座与团体辅导活动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素质拓展训练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心理健康主题活动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参与情绪管理与压力疏导培训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10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素质拓展训练或团体心理辅导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11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各类文化体验活动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12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文化沙龙与学术交流活动</w:t>
      </w:r>
    </w:p>
    <w:p>
      <w:pPr>
        <w:keepNext w:val="0"/>
        <w:keepLines w:val="0"/>
        <w:pageBreakBefore w:val="0"/>
        <w:widowControl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leftChars="0" w:firstLine="320" w:firstLineChars="100"/>
        <w:jc w:val="both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四、劳动教育类活动（8项）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校园志愿服务活动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社区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志愿服务活动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扶贫济困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志愿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服务活动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助老助残志愿服务活动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生态建设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志愿服务活动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专项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志愿服务活动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公益慈善与爱心捐赠活动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大型赛事或活动保障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09" w:leftChars="0"/>
        <w:jc w:val="left"/>
        <w:textAlignment w:val="baseline"/>
        <w:rPr>
          <w:rFonts w:hint="default" w:ascii="黑体" w:hAnsi="黑体" w:eastAsia="黑体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五、科创培养类活动（8项）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科技创新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思维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训练的讲座或沙龙活动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各级各类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学术交流活动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各级各类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科研课题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4.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学科竞赛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或创新比赛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撰写发表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学术论文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或参加专利发明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创业知识竞赛、创业论坛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或创业沙龙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等活动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创业模拟活动或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创新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创业大赛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441" w:leftChars="338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创业实践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或创业实训活动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firstLine="320" w:firstLineChars="100"/>
        <w:jc w:val="left"/>
        <w:textAlignment w:val="baseline"/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六、职业发展类</w:t>
      </w:r>
      <w:r>
        <w:rPr>
          <w:rFonts w:hint="default" w:ascii="黑体" w:hAnsi="黑体" w:eastAsia="黑体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活动</w:t>
      </w:r>
      <w:r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11项</w:t>
      </w:r>
      <w:r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职业规划与就业指导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类活动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参与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职业规划辅导与咨询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就业政策解读与就业形势分析讲座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模拟面试与面试技巧培训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5.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简历制作与求职文书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培训与比赛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职场礼仪与职业素养培训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考研备考指导讲座与经验交流会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考研复试辅导与模拟演练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出国留学信息宣讲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指导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10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各类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职业交流活动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11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各类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职业能力提升活动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七、社会服务类活动（6项）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1.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社会实践培训活动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2.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发起或参加社会调查或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参观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学习活动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3.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发起或参加专业技术社会服务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4.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挂职锻炼活动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5.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撰写有分量</w:t>
      </w: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  <w:t>的社会实践报告或政策性建议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69" w:leftChars="0" w:hanging="360" w:firstLineChars="0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6.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乡村振兴与基层服务实践活动</w:t>
      </w: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Cs w:val="0"/>
          <w:i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豫北医学院</w:t>
      </w: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第二课堂活动积分认定细则（试行）</w:t>
      </w:r>
    </w:p>
    <w:p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一、项目内容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第二课堂学生成长助力项目分为：思政教育、技能特长、文体素养、劳动教育、科创培养、职业发展、社会服务七大类。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二、项目定级标准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（一）国家级活动是指由国务院各部（委）、团中央、教育部各学科委员会主办的活动；国家级各社会团体举办的活动，原则上作为省级活动认证。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（二）省级活动是指由河南省各厅（委）、团省委、省教育厅各有关部门等主办的活动；省级各社会团体举办的活动，原则上作为校级活动认证。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（三）市级政府及主要党政部门和团市委主办的活动按校级活动认证；市级各社会团体举办的活动，原则上作为院级活动认证。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（四）学生参加活动的级别认定以实际举办单位（表彰单位）所属级别为准；凡带有商业性质的评比竞赛活动，一律不予认证。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  <w:t>三、修读要求</w:t>
      </w:r>
    </w:p>
    <w:tbl>
      <w:tblPr>
        <w:tblStyle w:val="31"/>
        <w:tblW w:w="10698" w:type="dxa"/>
        <w:tblCaption w:val="Table34iw"/>
        <w:tblInd w:w="-10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21"/>
        <w:gridCol w:w="1171"/>
        <w:gridCol w:w="1289"/>
        <w:gridCol w:w="1171"/>
        <w:gridCol w:w="1211"/>
        <w:gridCol w:w="1158"/>
        <w:gridCol w:w="1289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学年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思政教育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社会服务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科创培养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文体素养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技能特长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劳动教育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职业发展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大一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77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大二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77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大三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大四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大五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大一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0.5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77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三年制大二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77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两年制大二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77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三年制大三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四、积分标准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（一）通用积分</w:t>
      </w:r>
    </w:p>
    <w:tbl>
      <w:tblPr>
        <w:tblStyle w:val="31"/>
        <w:tblW w:w="9830" w:type="dxa"/>
        <w:jc w:val="center"/>
        <w:tblCaption w:val="Table3yt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653"/>
        <w:gridCol w:w="1065"/>
        <w:gridCol w:w="1035"/>
        <w:gridCol w:w="1260"/>
        <w:gridCol w:w="3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37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50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积分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37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组织者（组织活动的学生）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1"/>
                <w:highlight w:val="none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8255</wp:posOffset>
                      </wp:positionV>
                      <wp:extent cx="996950" cy="353695"/>
                      <wp:effectExtent l="1905" t="5715" r="13970" b="889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96950" cy="35369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o:spt="20" style="position:absolute;left:0pt;margin-left:-2pt;margin-top:0.65pt;height:27.85pt;width:78.5pt;z-index:251660288;mso-width-relative:page;mso-height-relative:page;" filled="f" stroked="t" coordsize="21600,21600" o:gfxdata="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PIZGqjWAAAABwEAAA8AAAAAAAAAAQAgAAAAOAAAAGRycy9kb3ducmV2LnhtbFBLAQIUABQA&#10;AAAIAIdO4kArc3JpFQIAACUEAAAOAAAAAAAAAAEAIAAAADsBAABkcnMvZTJvRG9jLnhtbFBLBQYA&#10;AAAABgAGAFkBAADCBQAAAAA=&#10;">
                      <v:fill on="f" focussize="0,0"/>
                      <v:stroke weight="1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1"/>
                <w:highlight w:val="none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4445</wp:posOffset>
                      </wp:positionV>
                      <wp:extent cx="476250" cy="257175"/>
                      <wp:effectExtent l="0" t="0" r="2540" b="635"/>
                      <wp:wrapNone/>
                      <wp:docPr id="3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76249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40" w:lineRule="auto"/>
                                    <w:jc w:val="left"/>
                                    <w:textAlignment w:val="baseline"/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snapToGrid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宋体" w:cs="Arial"/>
                                      <w:b/>
                                      <w:bCs/>
                                      <w:snapToGrid w:val="0"/>
                                      <w:color w:val="000000"/>
                                      <w:kern w:val="0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类别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4" o:spid="_x0000_s1026" o:spt="1" style="position:absolute;left:0pt;margin-left:48.25pt;margin-top:0.35pt;height:20.25pt;width:37.5pt;z-index:-251656192;mso-width-relative:page;mso-height-relative:page;" fillcolor="#FFFFFF" filled="t" stroked="f" coordsize="21600,21600" o:gfxdata="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HRlcXtQAAAAGAQAADwAA&#10;AAAAAAABACAAAAA4AAAAZHJzL2Rvd25yZXYueG1sUEsBAhQAFAAAAAgAh07iQPV1Ud0EAgAA/QMA&#10;AA4AAAAAAAAAAQAgAAAAOQEAAGRycy9lMm9Eb2MueG1sUEsFBgAAAAAGAAYAWQEAAK8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15"/>
                                <w:szCs w:val="15"/>
                                <w:lang w:val="en-US" w:eastAsia="zh-CN"/>
                              </w:rPr>
                              <w:t>类别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1"/>
                <w:highlight w:val="none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112395</wp:posOffset>
                      </wp:positionV>
                      <wp:extent cx="400050" cy="209550"/>
                      <wp:effectExtent l="0" t="0" r="5080" b="11430"/>
                      <wp:wrapNone/>
                      <wp:docPr id="4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000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40" w:lineRule="auto"/>
                                    <w:jc w:val="left"/>
                                    <w:textAlignment w:val="baseline"/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宋体" w:cs="Arial"/>
                                      <w:b/>
                                      <w:bCs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级别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3" o:spid="_x0000_s1026" o:spt="1" style="position:absolute;left:0pt;margin-left:-5pt;margin-top:8.85pt;height:16.5pt;width:31.5pt;z-index:-251656192;mso-width-relative:page;mso-height-relative:page;" fillcolor="#FFFFFF" filled="t" stroked="f" coordsize="21600,21600" o:gfxdata="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nk22ydYAAAAIAQAADwAA&#10;AAAAAAABACAAAAA4AAAAZHJzL2Rvd25yZXYueG1sUEsBAhQAFAAAAAgAh07iQOoTeQ0CAgAA/QMA&#10;AA4AAAAAAAAAAQAgAAAAOwEAAGRycy9lMm9Eb2MueG1sUEsFBgAAAAAGAAYAWQEAAK8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>级别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活动总负责人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各工作组组长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活动成员</w:t>
            </w:r>
          </w:p>
        </w:tc>
        <w:tc>
          <w:tcPr>
            <w:tcW w:w="3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组织过程中全程参与且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圆满完成活动任务无重大安全事故发生方可计分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市级、校级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1.5</w:t>
            </w:r>
          </w:p>
        </w:tc>
        <w:tc>
          <w:tcPr>
            <w:tcW w:w="3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院（部）、书院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0.5</w:t>
            </w:r>
          </w:p>
        </w:tc>
        <w:tc>
          <w:tcPr>
            <w:tcW w:w="3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37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观看者（各类活动观众）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活动级别更高或活动时间较长可酌情申请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提升积分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；团课、党课、形势政策课、迎新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会等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活动观众不予加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市级、校级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0.5</w:t>
            </w:r>
          </w:p>
        </w:tc>
        <w:tc>
          <w:tcPr>
            <w:tcW w:w="3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各院（部）、书院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0.3</w:t>
            </w:r>
          </w:p>
        </w:tc>
        <w:tc>
          <w:tcPr>
            <w:tcW w:w="3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社团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0.1</w:t>
            </w:r>
          </w:p>
        </w:tc>
        <w:tc>
          <w:tcPr>
            <w:tcW w:w="3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37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表演者（各类活动的演出人员）</w:t>
            </w:r>
          </w:p>
        </w:tc>
        <w:tc>
          <w:tcPr>
            <w:tcW w:w="50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院（部）、书院及以上活动表演者1积分</w:t>
            </w:r>
          </w:p>
        </w:tc>
        <w:tc>
          <w:tcPr>
            <w:tcW w:w="3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活动级别更高或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原创作品编排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经大学生第二课堂工作指导领导小组审核后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酌情申请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提升积分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2.竞赛性质表演按照竞赛类加分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0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社团活动表演者0.2积分</w:t>
            </w:r>
          </w:p>
        </w:tc>
        <w:tc>
          <w:tcPr>
            <w:tcW w:w="3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-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/>
          <w:color w:val="000000"/>
          <w:spacing w:val="-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/>
          <w:color w:val="000000"/>
          <w:spacing w:val="-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/>
          <w:color w:val="000000"/>
          <w:spacing w:val="-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/>
          <w:color w:val="000000"/>
          <w:spacing w:val="-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/>
          <w:color w:val="000000"/>
          <w:spacing w:val="-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/>
          <w:color w:val="000000"/>
          <w:spacing w:val="-2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31"/>
        <w:tblW w:w="9681" w:type="dxa"/>
        <w:jc w:val="center"/>
        <w:tblCaption w:val="Table1czv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438"/>
        <w:gridCol w:w="613"/>
        <w:gridCol w:w="621"/>
        <w:gridCol w:w="621"/>
        <w:gridCol w:w="621"/>
        <w:gridCol w:w="655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96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45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宋体" w:eastAsia="仿宋_GB2312" w:cs="Arial"/>
                <w:b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积分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96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竞赛者（参加各级各类竞赛活动）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-8890</wp:posOffset>
                      </wp:positionV>
                      <wp:extent cx="909320" cy="1241425"/>
                      <wp:effectExtent l="5080" t="3810" r="6350" b="6985"/>
                      <wp:wrapNone/>
                      <wp:docPr id="5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1918335" y="1120140"/>
                                <a:ext cx="909320" cy="12414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4.75pt;margin-top:-0.7pt;height:97.75pt;width:71.6pt;z-index:251661312;mso-width-relative:page;mso-height-relative:page;" filled="f" stroked="t" coordsize="21600,21600" o:gfxdata="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DfbFi9kAAAAJAQAADwAAAAAAAAABACAAAAA4AAAAZHJzL2Rvd25yZXYueG1sUEsBAhQAFAAA&#10;AAgAh07iQGjh2D0RAgAAAQQAAA4AAAAAAAAAAQAgAAAAPgEAAGRycy9lMm9Eb2MueG1sUEsFBgAA&#10;AAAGAAYAWQEAAMEF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1"/>
                <w:highlight w:val="none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74930</wp:posOffset>
                      </wp:positionV>
                      <wp:extent cx="476250" cy="304800"/>
                      <wp:effectExtent l="0" t="0" r="2540" b="8255"/>
                      <wp:wrapNone/>
                      <wp:docPr id="6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76249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40" w:lineRule="auto"/>
                                    <w:jc w:val="left"/>
                                    <w:textAlignment w:val="baseline"/>
                                    <w:rPr>
                                      <w:rFonts w:hint="eastAsia" w:ascii="Arial" w:hAnsi="Arial" w:eastAsia="宋体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宋体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类别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10" o:spid="_x0000_s1026" o:spt="1" style="position:absolute;left:0pt;margin-left:22.6pt;margin-top:5.9pt;height:24pt;width:37.5pt;z-index:251660288;mso-width-relative:page;mso-height-relative:page;" fillcolor="#FFFFFF" filled="t" stroked="f" coordsize="21600,21600" o:gfxdata="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b3LX81QAAAAgBAAAP&#10;AAAAAAAAAAEAIAAAADgAAABkcnMvZG93bnJldi54bWxQSwECFAAUAAAACACHTuJAiAfSgAUCAAD+&#10;AwAADgAAAAAAAAABACAAAAA6AQAAZHJzL2Uyb0RvYy54bWxQSwUGAAAAAAYABgBZAQAAsQ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hint="eastAsia" w:ascii="Arial" w:hAnsi="Arial" w:eastAsia="宋体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类别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1"/>
                <w:highlight w:val="none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741680</wp:posOffset>
                      </wp:positionV>
                      <wp:extent cx="485775" cy="323850"/>
                      <wp:effectExtent l="0" t="0" r="11430" b="7620"/>
                      <wp:wrapNone/>
                      <wp:docPr id="7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85775" cy="3238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40" w:lineRule="auto"/>
                                    <w:jc w:val="left"/>
                                    <w:textAlignment w:val="baseline"/>
                                    <w:rPr>
                                      <w:rFonts w:hint="eastAsia" w:ascii="Arial" w:hAnsi="Arial" w:eastAsia="宋体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宋体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级别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9" o:spid="_x0000_s1026" o:spt="1" style="position:absolute;left:0pt;margin-left:0.85pt;margin-top:58.4pt;height:25.5pt;width:38.25pt;z-index:251660288;mso-width-relative:page;mso-height-relative:page;" fillcolor="#FFFFFF" filled="t" stroked="f" coordsize="21600,21600" o:gfxdata="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suuBpNQAAAAIAQAADwAA&#10;AAAAAAABACAAAAA4AAAAZHJzL2Rvd25yZXYueG1sUEsBAhQAFAAAAAgAh07iQNEVqB8EAgAA/QMA&#10;AA4AAAAAAAAAAQAgAAAAOQEAAGRycy9lMm9Eb2MueG1sUEsFBgAAAAAGAAYAWQEAAK8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hint="eastAsia" w:ascii="Arial" w:hAnsi="Arial" w:eastAsia="宋体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级别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一等奖</w:t>
            </w:r>
          </w:p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及以上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二等奖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三等奖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优秀奖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入围决赛</w:t>
            </w:r>
          </w:p>
        </w:tc>
        <w:tc>
          <w:tcPr>
            <w:tcW w:w="3216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贡献程度有差异的比赛，如挑战杯：按照第一成员（队长/负责人）为积分*100%，第二至第四成员为积分*60%，第五至第八成员为积分*40%，第八及以后成员为积分*20%，计算出的积分执行四舍五入，保留小数点后两位；</w:t>
            </w:r>
          </w:p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2.贡献度差异不大的比赛，如文艺类团体赛事：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团队负责人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为积分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*100%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成员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为积分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80%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保留小数点后两位；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.同一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竞赛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不同级别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获得多个奖项的，只加最高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  <w:t>3</w:t>
            </w: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市级、校级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  <w:t>4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  <w:t>3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  <w:t>2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各院（部）、书院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0.3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  <w:t>0.</w:t>
            </w: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社团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0.5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0.4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  <w:t>0.</w:t>
            </w: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  <w:t>无</w:t>
            </w: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  <w:t>个人荣誉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</w:t>
            </w:r>
          </w:p>
        </w:tc>
        <w:tc>
          <w:tcPr>
            <w:tcW w:w="3131" w:type="dxa"/>
            <w:gridSpan w:val="5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3131" w:type="dxa"/>
            <w:gridSpan w:val="5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市级、校级</w:t>
            </w:r>
          </w:p>
        </w:tc>
        <w:tc>
          <w:tcPr>
            <w:tcW w:w="3131" w:type="dxa"/>
            <w:gridSpan w:val="5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4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院（部）、书院</w:t>
            </w:r>
          </w:p>
        </w:tc>
        <w:tc>
          <w:tcPr>
            <w:tcW w:w="3131" w:type="dxa"/>
            <w:gridSpan w:val="5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集体荣誉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</w:t>
            </w:r>
          </w:p>
        </w:tc>
        <w:tc>
          <w:tcPr>
            <w:tcW w:w="3131" w:type="dxa"/>
            <w:gridSpan w:val="5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3216" w:type="dxa"/>
            <w:vMerge w:val="restar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贡献程度有差异，按照第一负责人积分100%，其他负责人积分90%，成员80%计算，计算出的积分执行四舍五入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以班级团支部为单位获得荣誉为例，团支书兼班长为积分*100%，班委为积分*90%，成员为积分*80%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3131" w:type="dxa"/>
            <w:gridSpan w:val="5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市级、校级</w:t>
            </w:r>
          </w:p>
        </w:tc>
        <w:tc>
          <w:tcPr>
            <w:tcW w:w="3131" w:type="dxa"/>
            <w:gridSpan w:val="5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4</w:t>
            </w: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院（部）、书院</w:t>
            </w:r>
          </w:p>
        </w:tc>
        <w:tc>
          <w:tcPr>
            <w:tcW w:w="3131" w:type="dxa"/>
            <w:gridSpan w:val="5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216" w:type="dxa"/>
            <w:vMerge w:val="continue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宋体" w:eastAsia="仿宋_GB2312" w:cs="Arial"/>
                <w:snapToGrid w:val="0"/>
                <w:color w:val="auto"/>
                <w:kern w:val="0"/>
                <w:sz w:val="24"/>
                <w:szCs w:val="21"/>
                <w:highlight w:val="none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（二）思政教育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36" w:line="560" w:lineRule="exact"/>
        <w:ind w:right="397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  <w:t>主要记载学生参加思想引领类主题教育活动，学生参加党校、团校培训经历，以及获得的相关荣誉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zh-CN"/>
        </w:rPr>
        <w:t>。</w:t>
      </w:r>
    </w:p>
    <w:tbl>
      <w:tblPr>
        <w:tblStyle w:val="30"/>
        <w:tblW w:w="9425" w:type="dxa"/>
        <w:jc w:val="center"/>
        <w:tblCaption w:val="Table4aow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1323"/>
        <w:gridCol w:w="873"/>
        <w:gridCol w:w="936"/>
        <w:gridCol w:w="3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1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项目</w:t>
            </w:r>
          </w:p>
        </w:tc>
        <w:tc>
          <w:tcPr>
            <w:tcW w:w="21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zh-CN"/>
              </w:rPr>
              <w:t>积分</w:t>
            </w: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认定方式</w:t>
            </w:r>
          </w:p>
        </w:tc>
        <w:tc>
          <w:tcPr>
            <w:tcW w:w="3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4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党校、团校、青马工程培训</w:t>
            </w:r>
          </w:p>
        </w:tc>
        <w:tc>
          <w:tcPr>
            <w:tcW w:w="13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国家级</w:t>
            </w:r>
          </w:p>
        </w:tc>
        <w:tc>
          <w:tcPr>
            <w:tcW w:w="8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93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314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  <w:t>如有评选，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评为优秀加1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积分例：优秀青马班学员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4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3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省级</w:t>
            </w:r>
          </w:p>
        </w:tc>
        <w:tc>
          <w:tcPr>
            <w:tcW w:w="8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93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314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4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3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市级、校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级</w:t>
            </w:r>
          </w:p>
        </w:tc>
        <w:tc>
          <w:tcPr>
            <w:tcW w:w="8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3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314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14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3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院（部）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、书院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级</w:t>
            </w:r>
          </w:p>
        </w:tc>
        <w:tc>
          <w:tcPr>
            <w:tcW w:w="87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3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314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31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主题班会、主题团日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支部活动</w:t>
            </w:r>
          </w:p>
        </w:tc>
        <w:tc>
          <w:tcPr>
            <w:tcW w:w="21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3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2积分/次，每学年上限2积分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课外阅读</w:t>
            </w:r>
          </w:p>
        </w:tc>
        <w:tc>
          <w:tcPr>
            <w:tcW w:w="21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0.2</w:t>
            </w: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3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0.2积分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/本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阅读书籍并完成手写800字以上读书笔记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拍照打卡；该类别每学年上限1积分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形势政策、理想信念主题报告会、主题讲座等教育活动</w:t>
            </w:r>
          </w:p>
        </w:tc>
        <w:tc>
          <w:tcPr>
            <w:tcW w:w="21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按照（一）通用积分中观众积分执行</w:t>
            </w: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3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思政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主题教育作品比赛</w:t>
            </w:r>
          </w:p>
        </w:tc>
        <w:tc>
          <w:tcPr>
            <w:tcW w:w="21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获奖者按照（一）通用积分中竞赛积分执行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观众按照（一）通用积分中观众积分标准执行</w:t>
            </w: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3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同一作品获得多个奖项的，只加最高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积分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思政教育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荣誉</w:t>
            </w:r>
          </w:p>
        </w:tc>
        <w:tc>
          <w:tcPr>
            <w:tcW w:w="21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按照（一）通用积分中荣誉积分执行</w:t>
            </w: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3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同类荣誉不累加，取最高分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34" w:line="560" w:lineRule="exact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-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（三）技能特长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36" w:line="560" w:lineRule="exact"/>
        <w:ind w:right="397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  <w:t>主要记载参加各类技能培训及专业技能竞赛的经历，以及获得的相关荣誉。</w:t>
      </w:r>
    </w:p>
    <w:tbl>
      <w:tblPr>
        <w:tblStyle w:val="30"/>
        <w:tblW w:w="9233" w:type="dxa"/>
        <w:jc w:val="center"/>
        <w:tblCaption w:val="Table8ckv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3135"/>
        <w:gridCol w:w="1165"/>
        <w:gridCol w:w="936"/>
        <w:gridCol w:w="1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项目</w:t>
            </w:r>
          </w:p>
        </w:tc>
        <w:tc>
          <w:tcPr>
            <w:tcW w:w="43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1D1D1D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1D1D1D"/>
                <w:kern w:val="0"/>
                <w:sz w:val="24"/>
                <w:szCs w:val="24"/>
                <w:highlight w:val="none"/>
                <w:lang w:eastAsia="zh-CN"/>
              </w:rPr>
              <w:t>积分</w:t>
            </w: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认定方式</w:t>
            </w:r>
          </w:p>
        </w:tc>
        <w:tc>
          <w:tcPr>
            <w:tcW w:w="17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应急救护相关证书</w:t>
            </w:r>
          </w:p>
        </w:tc>
        <w:tc>
          <w:tcPr>
            <w:tcW w:w="43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各应急救护相关证书根据发放单位级别对应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（一）通用积分中竞赛中三等奖积分执行</w:t>
            </w: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170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非英语专业学生通过英语等级考试</w:t>
            </w:r>
          </w:p>
        </w:tc>
        <w:tc>
          <w:tcPr>
            <w:tcW w:w="3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国家英语应用能力考试</w:t>
            </w:r>
          </w:p>
        </w:tc>
        <w:tc>
          <w:tcPr>
            <w:tcW w:w="11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2</w:t>
            </w:r>
          </w:p>
        </w:tc>
        <w:tc>
          <w:tcPr>
            <w:tcW w:w="93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17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3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四级</w:t>
            </w:r>
          </w:p>
        </w:tc>
        <w:tc>
          <w:tcPr>
            <w:tcW w:w="11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3</w:t>
            </w:r>
          </w:p>
        </w:tc>
        <w:tc>
          <w:tcPr>
            <w:tcW w:w="93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7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3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六级</w:t>
            </w:r>
          </w:p>
        </w:tc>
        <w:tc>
          <w:tcPr>
            <w:tcW w:w="11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4</w:t>
            </w:r>
          </w:p>
        </w:tc>
        <w:tc>
          <w:tcPr>
            <w:tcW w:w="93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7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通过国家计算机等级考试</w:t>
            </w:r>
          </w:p>
        </w:tc>
        <w:tc>
          <w:tcPr>
            <w:tcW w:w="3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一级</w:t>
            </w:r>
          </w:p>
        </w:tc>
        <w:tc>
          <w:tcPr>
            <w:tcW w:w="11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2</w:t>
            </w:r>
          </w:p>
        </w:tc>
        <w:tc>
          <w:tcPr>
            <w:tcW w:w="93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17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3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二级</w:t>
            </w:r>
          </w:p>
        </w:tc>
        <w:tc>
          <w:tcPr>
            <w:tcW w:w="11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3</w:t>
            </w:r>
          </w:p>
        </w:tc>
        <w:tc>
          <w:tcPr>
            <w:tcW w:w="93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7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3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三级</w:t>
            </w:r>
          </w:p>
        </w:tc>
        <w:tc>
          <w:tcPr>
            <w:tcW w:w="11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4</w:t>
            </w:r>
          </w:p>
        </w:tc>
        <w:tc>
          <w:tcPr>
            <w:tcW w:w="93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7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普通话证书</w:t>
            </w:r>
          </w:p>
        </w:tc>
        <w:tc>
          <w:tcPr>
            <w:tcW w:w="3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二级乙等以上</w:t>
            </w:r>
          </w:p>
        </w:tc>
        <w:tc>
          <w:tcPr>
            <w:tcW w:w="11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17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3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活动、竞赛</w:t>
            </w:r>
          </w:p>
        </w:tc>
        <w:tc>
          <w:tcPr>
            <w:tcW w:w="430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获奖者按照（一）通用积分中竞赛积分执行</w:t>
            </w:r>
          </w:p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观众按照（一）通用积分中观众积分标准执行</w:t>
            </w: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17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93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专业类讲座</w:t>
            </w:r>
          </w:p>
        </w:tc>
        <w:tc>
          <w:tcPr>
            <w:tcW w:w="430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按照（一）通用积分中观众积分执行</w:t>
            </w:r>
          </w:p>
        </w:tc>
        <w:tc>
          <w:tcPr>
            <w:tcW w:w="93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17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（四）文体素养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36" w:line="560" w:lineRule="exact"/>
        <w:ind w:right="397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  <w:t>主要记载参与各级各类文艺体育活动、竞赛的经历，以及获得的相关荣誉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zh-CN"/>
        </w:rPr>
        <w:t>。</w:t>
      </w:r>
    </w:p>
    <w:tbl>
      <w:tblPr>
        <w:tblStyle w:val="30"/>
        <w:tblW w:w="9580" w:type="dxa"/>
        <w:jc w:val="center"/>
        <w:tblCaption w:val="Table2edk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2562"/>
        <w:gridCol w:w="1428"/>
        <w:gridCol w:w="2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项目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zh-CN"/>
              </w:rPr>
              <w:t>积分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认定方式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参加人文艺术类讲座、报告、科技文化艺术节、展览、重大文艺演出等活动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的演职人员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按照通用积分的相关竞赛优秀奖加分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大型团体表演项目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按照（一）通用积分中组织者成员积分执行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如运动会团体操，团体操总负责人按照组织者活动总负责加分，其他负责人按照各工作组组长加分。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大型活动方队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按照（一）通用积分中组织者成员积分执行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如运动会入场方队，方队总负责人按照组织者活动总负责人加分，其他负责人按照各工作组组长加分。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文体类讲座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按照（一）通用积分中观众积分执行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活动、竞赛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获奖者按照（一）通用积分中竞赛积分执行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观众按照（一）通用积分中观众积分标准执行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申报/认证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（五）劳动教育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36" w:line="560" w:lineRule="exact"/>
        <w:ind w:right="397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  <w:t>主要记载学生参与各类助残支教、社区服务、公益劳动、赛会服务、海外服务、校内公益服务等志愿服务活动的经历，以及获得的相关荣誉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zh-CN"/>
        </w:rPr>
        <w:t>。</w:t>
      </w:r>
    </w:p>
    <w:tbl>
      <w:tblPr>
        <w:tblStyle w:val="30"/>
        <w:tblW w:w="9632" w:type="dxa"/>
        <w:jc w:val="center"/>
        <w:tblCaption w:val="Tablee8hu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2264"/>
        <w:gridCol w:w="936"/>
        <w:gridCol w:w="3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32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32"/>
                <w:highlight w:val="none"/>
                <w:lang w:eastAsia="en-US"/>
              </w:rPr>
              <w:t>项目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32"/>
                <w:highlight w:val="none"/>
                <w:lang w:eastAsia="zh-CN"/>
              </w:rPr>
              <w:t>积分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32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32"/>
                <w:highlight w:val="none"/>
                <w:lang w:eastAsia="en-US"/>
              </w:rPr>
              <w:t>认定方式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32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32"/>
                <w:highlight w:val="none"/>
                <w:lang w:eastAsia="en-US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eastAsia="en-US"/>
              </w:rPr>
              <w:t>日常志愿服务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或劳动公益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eastAsia="en-US"/>
              </w:rPr>
              <w:t>活动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0.5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申报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积分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eastAsia="en-US"/>
              </w:rPr>
              <w:t>/小时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eastAsia="zh-CN"/>
              </w:rPr>
              <w:t>无偿献血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认证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积分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造血干细胞捐献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认证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10积分/次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劳动教育/志愿公益类讲座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按照（一）通用积分中观众积分执行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申报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劳动教育/志愿公益类竞赛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获奖者按照（一）通用积分中竞赛积分执行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观众按照（一）通用积分中观众积分标准执行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申报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同一作品获得多个奖项的，只加最高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积分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劳动教育/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志愿公益类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荣誉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按照（一）通用积分中荣誉积分执行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同类荣誉不累加，取最高分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（六）科创培养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36" w:line="560" w:lineRule="exact"/>
        <w:ind w:right="397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val="en-US" w:eastAsia="zh-CN"/>
        </w:rPr>
        <w:t>主要记载参与各级各类学术科技、创新创业竞赛和活动的经历及获得的相关荣誉，以及发表的学术论文、出版的学术专著、取得的技术专利等。</w:t>
      </w:r>
    </w:p>
    <w:tbl>
      <w:tblPr>
        <w:tblStyle w:val="31"/>
        <w:tblW w:w="9683" w:type="dxa"/>
        <w:tblCaption w:val="Table30zw"/>
        <w:tblInd w:w="-5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818"/>
        <w:gridCol w:w="818"/>
        <w:gridCol w:w="820"/>
        <w:gridCol w:w="1805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Header/>
        </w:trPr>
        <w:tc>
          <w:tcPr>
            <w:tcW w:w="2727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项目</w:t>
            </w:r>
          </w:p>
        </w:tc>
        <w:tc>
          <w:tcPr>
            <w:tcW w:w="2456" w:type="dxa"/>
            <w:gridSpan w:val="3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zh-CN"/>
              </w:rPr>
              <w:t>积分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认定方式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727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创新创业类讲座、报告会</w:t>
            </w:r>
          </w:p>
        </w:tc>
        <w:tc>
          <w:tcPr>
            <w:tcW w:w="2456" w:type="dxa"/>
            <w:gridSpan w:val="3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按照（一）通用积分中观众积分执行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</w:trPr>
        <w:tc>
          <w:tcPr>
            <w:tcW w:w="2727" w:type="dxa"/>
            <w:vMerge w:val="restart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国际、国内正式刊物上发表论文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国际学术期刊、全国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核心期刊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2695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按照第一成员（队长/负责人）为积分*100%，第二至第四成员为积分*60%，第五至第八成员为积分*40%，第八及以后成员为积分*20%，计算出的积分执行四舍五入，保留小数点后两位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</w:trPr>
        <w:tc>
          <w:tcPr>
            <w:tcW w:w="2727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一般学术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刊物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0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tblHeader/>
        </w:trPr>
        <w:tc>
          <w:tcPr>
            <w:tcW w:w="2727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有内部准印证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学术会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论文集等非正式刊物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0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tblHeader/>
        </w:trPr>
        <w:tc>
          <w:tcPr>
            <w:tcW w:w="2727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创新创业类课题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涵盖大学生科研立项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立项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国家级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2695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按照第一成员（队长/负责人）为积分*100%，第二至第四成员为积分*60%，第五至第八成员为积分*40%，第八及以后成员为积分*20%，计算出的积分执行四舍五入保留小数点后两位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tblHeader/>
        </w:trPr>
        <w:tc>
          <w:tcPr>
            <w:tcW w:w="2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省级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0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tblHeader/>
        </w:trPr>
        <w:tc>
          <w:tcPr>
            <w:tcW w:w="2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级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0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tblHeader/>
        </w:trPr>
        <w:tc>
          <w:tcPr>
            <w:tcW w:w="2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结项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国家级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80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tblHeader/>
        </w:trPr>
        <w:tc>
          <w:tcPr>
            <w:tcW w:w="2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省级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0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tblHeader/>
        </w:trPr>
        <w:tc>
          <w:tcPr>
            <w:tcW w:w="2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级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0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Merge w:val="continue"/>
            <w:noWrap w:val="0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560" w:lineRule="exact"/>
              <w:ind w:right="397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727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创新创业类讲座</w:t>
            </w:r>
          </w:p>
        </w:tc>
        <w:tc>
          <w:tcPr>
            <w:tcW w:w="2456" w:type="dxa"/>
            <w:gridSpan w:val="3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按照（一）通用积分中观众积分执行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727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课外学术科技作品竞赛、创新创业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大赛</w:t>
            </w:r>
          </w:p>
        </w:tc>
        <w:tc>
          <w:tcPr>
            <w:tcW w:w="2456" w:type="dxa"/>
            <w:gridSpan w:val="3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获奖者按照（一）通用积分中竞赛积分执行</w:t>
            </w:r>
          </w:p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观众按照（一）通用积分中观众积分标准执行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727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创新创业类荣誉</w:t>
            </w:r>
          </w:p>
        </w:tc>
        <w:tc>
          <w:tcPr>
            <w:tcW w:w="2456" w:type="dxa"/>
            <w:gridSpan w:val="3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按照（一）通用积分中荣誉积分执行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同类荣誉不累加，取最高分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（七）职业发展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36" w:line="560" w:lineRule="exact"/>
        <w:ind w:right="397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  <w:t>主要记载参与提升就业竞争力与职业生涯规划能力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val="en-US" w:eastAsia="zh-CN"/>
        </w:rPr>
        <w:t>的各类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  <w:t>职业生涯规划辅导、就业技能培训、考研与升学指导、校友交流与职场模拟等活动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zh-CN"/>
        </w:rPr>
        <w:t>。</w:t>
      </w:r>
    </w:p>
    <w:tbl>
      <w:tblPr>
        <w:tblStyle w:val="30"/>
        <w:tblW w:w="9331" w:type="dxa"/>
        <w:jc w:val="center"/>
        <w:tblCaption w:val="Table14p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2504"/>
        <w:gridCol w:w="1861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项目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zh-CN"/>
              </w:rPr>
              <w:t>积分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认定方式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职业发展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类讲座、报告会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按照（一）通用积分执行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  <w:jc w:val="center"/>
        </w:trPr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职业发展类荣誉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按照（一）通用积分中荣誉积分执行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同类荣誉不累加，取最高分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各项职业发展类活动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按照（一）通用积分执行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（八）社会服务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36" w:line="560" w:lineRule="exact"/>
        <w:ind w:right="397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en-US"/>
        </w:rPr>
        <w:t>主要记载学生参与寒暑假“三下乡”社会实践活动，以及获得的相关荣誉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eastAsia="zh-CN"/>
        </w:rPr>
        <w:t>。</w:t>
      </w:r>
    </w:p>
    <w:tbl>
      <w:tblPr>
        <w:tblStyle w:val="30"/>
        <w:tblW w:w="9308" w:type="dxa"/>
        <w:jc w:val="center"/>
        <w:tblCaption w:val="Table18i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632"/>
        <w:gridCol w:w="1105"/>
        <w:gridCol w:w="861"/>
        <w:gridCol w:w="3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eastAsia="en-US"/>
              </w:rPr>
              <w:t>项目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  <w:t>积分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  <w:t>认证方式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“三下乡”社会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实践活动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国家级团队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3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85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贡献程度有差异，按照第一成员（队长）为积分*100%，第二至第四成员为积分*60%，第五及以后成员为积分*40%，计算出的积分执行四舍五入，保留小数点后两位；个人实践不乘以系数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省级团队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校级团队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4</w:t>
            </w: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3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院（部）、书院团队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个人实践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0.5</w:t>
            </w:r>
          </w:p>
        </w:tc>
        <w:tc>
          <w:tcPr>
            <w:tcW w:w="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向基层报到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个人服务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38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1积分/10小时，低于10小时不积分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机关（事业单位）挂职、实习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90"/>
                <w:kern w:val="0"/>
                <w:sz w:val="24"/>
                <w:szCs w:val="24"/>
                <w:highlight w:val="none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挂职实习时间要求2周以上，以挂职实习鉴定为准。第一课堂里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涉及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的专业实习（见习）等不在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积分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范围内，该项每学年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积分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上限为2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社会实践类讲座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按照（一）通用积分中观众积分执行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申报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社会实践类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荣誉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按照（一）通用积分中荣誉积分执行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1D1D1D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同类荣誉不累加，取最高分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五、其他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lang w:val="en-US" w:eastAsia="zh-CN"/>
        </w:rPr>
        <w:t>如遇未列入积分认定范围的项目，学生可提交书面申诉及相关证明材料，由第二课堂工作领导小组进行集中审议，并形成最终认定结果，确保公平、公正、公开的原则贯穿认定工作全过程。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36" w:line="560" w:lineRule="exact"/>
        <w:ind w:right="397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p>
      <w:pPr>
        <w:snapToGrid w:val="0"/>
        <w:spacing w:line="360" w:lineRule="auto"/>
        <w:rPr>
          <w:rFonts w:hint="eastAsia" w:ascii="仿宋_GB2312"/>
        </w:rPr>
      </w:pPr>
    </w:p>
    <w:tbl>
      <w:tblPr>
        <w:tblStyle w:val="30"/>
        <w:tblpPr w:leftFromText="181" w:rightFromText="181" w:vertAnchor="page" w:tblpXSpec="center" w:tblpY="14460"/>
        <w:tblOverlap w:val="never"/>
        <w:tblW w:w="0" w:type="auto"/>
        <w:tblCaption w:val="Table2mn0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52" w:type="dxa"/>
            <w:noWrap w:val="0"/>
            <w:vAlign w:val="center"/>
          </w:tcPr>
          <w:p>
            <w:pPr>
              <w:snapToGrid w:val="0"/>
              <w:spacing w:line="579" w:lineRule="exact"/>
              <w:ind w:firstLine="280" w:firstLineChars="100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豫北医学院校长办公室                     </w:t>
            </w:r>
            <w:r>
              <w:rPr>
                <w:rFonts w:ascii="仿宋_GB2312" w:hAnsi="宋体"/>
                <w:sz w:val="28"/>
                <w:szCs w:val="28"/>
              </w:rPr>
              <w:t>20</w:t>
            </w:r>
            <w:r>
              <w:rPr>
                <w:rFonts w:hint="eastAsia" w:ascii="仿宋_GB2312" w:hAnsi="宋体"/>
                <w:sz w:val="28"/>
                <w:szCs w:val="28"/>
              </w:rPr>
              <w:t>26</w:t>
            </w:r>
            <w:r>
              <w:rPr>
                <w:rFonts w:ascii="仿宋_GB2312" w:hAnsi="宋体"/>
                <w:sz w:val="28"/>
                <w:szCs w:val="28"/>
              </w:rPr>
              <w:t>年3月</w:t>
            </w:r>
            <w:r>
              <w:rPr>
                <w:rFonts w:hint="eastAsia" w:ascii="仿宋_GB2312" w:hAnsi="宋体"/>
                <w:sz w:val="28"/>
                <w:szCs w:val="28"/>
              </w:rPr>
              <w:t>24</w:t>
            </w:r>
            <w:r>
              <w:rPr>
                <w:rFonts w:ascii="仿宋_GB2312" w:hAnsi="宋体"/>
                <w:sz w:val="28"/>
                <w:szCs w:val="28"/>
              </w:rPr>
              <w:t>日</w:t>
            </w:r>
            <w:r>
              <w:rPr>
                <w:rFonts w:hint="eastAsia" w:ascii="仿宋_GB2312" w:hAnsi="宋体"/>
                <w:sz w:val="28"/>
                <w:szCs w:val="28"/>
              </w:rPr>
              <w:t>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pgSz w:w="11906" w:h="16838"/>
      <w:pgMar w:top="2098" w:right="1327" w:bottom="1588" w:left="1644" w:header="851" w:footer="992" w:gutter="0"/>
      <w:cols w:space="425" w:num="1"/>
      <w:docGrid w:type="linesAndChars" w:linePitch="597" w:charSpace="-1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quot;Times New Roman&quot;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280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E78D0"/>
    <w:multiLevelType w:val="multilevel"/>
    <w:tmpl w:val="A3FE78D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7FAF54B6"/>
    <w:multiLevelType w:val="multilevel"/>
    <w:tmpl w:val="7FAF54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documentProtection w:enforcement="0"/>
  <w:defaultTabStop w:val="420"/>
  <w:evenAndOddHeaders w:val="1"/>
  <w:drawingGridHorizontalSpacing w:val="-1"/>
  <w:drawingGridVerticalSpacing w:val="59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F9D6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Plain Text"/>
    <w:basedOn w:val="1"/>
    <w:link w:val="185"/>
    <w:uiPriority w:val="0"/>
    <w:rPr>
      <w:rFonts w:ascii="宋体" w:hAnsi="Courier New" w:eastAsia="宋体" w:cs="宋体"/>
      <w:sz w:val="21"/>
      <w:szCs w:val="21"/>
    </w:r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semiHidden/>
    <w:uiPriority w:val="0"/>
    <w:rPr>
      <w:sz w:val="18"/>
      <w:szCs w:val="18"/>
    </w:rPr>
  </w:style>
  <w:style w:type="paragraph" w:styleId="19">
    <w:name w:val="footer"/>
    <w:basedOn w:val="1"/>
    <w:link w:val="18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2"/>
    <w:semiHidden/>
    <w:unhideWhenUsed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page number"/>
    <w:basedOn w:val="32"/>
    <w:qFormat/>
    <w:uiPriority w:val="0"/>
  </w:style>
  <w:style w:type="character" w:styleId="3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2"/>
    <w:unhideWhenUsed/>
    <w:uiPriority w:val="99"/>
    <w:rPr>
      <w:vertAlign w:val="superscript"/>
    </w:rPr>
  </w:style>
  <w:style w:type="character" w:customStyle="1" w:styleId="37">
    <w:name w:val="Heading 1 Char"/>
    <w:basedOn w:val="32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2"/>
    <w:link w:val="3"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2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2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2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2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8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9">
    <w:name w:val="Subtitle Char"/>
    <w:basedOn w:val="32"/>
    <w:link w:val="23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uiPriority w:val="30"/>
    <w:rPr>
      <w:i/>
    </w:rPr>
  </w:style>
  <w:style w:type="character" w:customStyle="1" w:styleId="54">
    <w:name w:val="Header Char"/>
    <w:basedOn w:val="32"/>
    <w:uiPriority w:val="99"/>
  </w:style>
  <w:style w:type="character" w:customStyle="1" w:styleId="55">
    <w:name w:val="Footer Char"/>
    <w:basedOn w:val="32"/>
    <w:uiPriority w:val="99"/>
  </w:style>
  <w:style w:type="character" w:customStyle="1" w:styleId="56">
    <w:name w:val="Caption Char"/>
    <w:uiPriority w:val="99"/>
  </w:style>
  <w:style w:type="table" w:customStyle="1" w:styleId="57">
    <w:name w:val="Table Grid Light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30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30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3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3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3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3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3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3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0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30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30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0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0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30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0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0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0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30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0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30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30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30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3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3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4"/>
    <w:uiPriority w:val="99"/>
    <w:rPr>
      <w:sz w:val="18"/>
    </w:rPr>
  </w:style>
  <w:style w:type="character" w:customStyle="1" w:styleId="183">
    <w:name w:val="Endnote Text Char"/>
    <w:link w:val="17"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5">
    <w:name w:val="纯文本 Char"/>
    <w:link w:val="15"/>
    <w:qFormat/>
    <w:uiPriority w:val="0"/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character" w:customStyle="1" w:styleId="186">
    <w:name w:val="页脚 Char"/>
    <w:link w:val="19"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2010-08-18T06:58:00Z</dcterms:created>
  <dc:creator>微软中国</dc:creator>
  <cp:lastModifiedBy>孙峰</cp:lastModifiedBy>
  <dcterms:modified xsi:type="dcterms:W3CDTF">2026-06-17T16:13:24Z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650A1366F63FD14A2457326AA8D98E50</vt:lpwstr>
  </property>
</Properties>
</file>