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0" w:name="_Toc501638731"/>
      <w:r>
        <w:rPr>
          <w:rFonts w:hint="eastAsia"/>
        </w:rPr>
        <w:t>新乡医学院三全学院辅导员等级化管理办法</w:t>
      </w:r>
      <w:bookmarkEnd w:id="0"/>
    </w:p>
    <w:p>
      <w:pPr>
        <w:pStyle w:val="5"/>
        <w:spacing w:before="312" w:after="312"/>
      </w:pPr>
      <w:r>
        <w:rPr>
          <w:rFonts w:hint="eastAsia"/>
        </w:rPr>
        <w:t>院发〔2017〕75号</w:t>
      </w:r>
    </w:p>
    <w:p>
      <w:pPr>
        <w:pStyle w:val="6"/>
        <w:rPr>
          <w:w w:val="95"/>
        </w:rPr>
      </w:pPr>
      <w:r>
        <w:rPr>
          <w:rFonts w:hint="eastAsia"/>
          <w:w w:val="95"/>
        </w:rPr>
        <w:t>第一章  总  则</w:t>
      </w:r>
    </w:p>
    <w:p>
      <w:pPr>
        <w:pStyle w:val="7"/>
      </w:pPr>
      <w:r>
        <w:rPr>
          <w:rFonts w:hint="eastAsia"/>
          <w:bCs/>
        </w:rPr>
        <w:t>第一条</w:t>
      </w:r>
      <w:r>
        <w:rPr>
          <w:rFonts w:hint="eastAsia"/>
        </w:rPr>
        <w:t xml:space="preserve">  辅导员队伍是大学生思想政治教育的骨干力量，也是我校通识教育师资队伍的核心组成部分，辅导员应成为思想政治教育专家和通识教育专家。</w:t>
      </w:r>
    </w:p>
    <w:p>
      <w:pPr>
        <w:pStyle w:val="7"/>
      </w:pPr>
      <w:r>
        <w:rPr>
          <w:rFonts w:hint="eastAsia"/>
          <w:bCs/>
        </w:rPr>
        <w:t>第二条</w:t>
      </w:r>
      <w:r>
        <w:rPr>
          <w:rFonts w:hint="eastAsia"/>
        </w:rPr>
        <w:t xml:space="preserve">  为加强我校辅导员队伍建设，打造一支政治强、业务精、纪律严、作风正的辅导员队伍，进一步充实辅导员工作的专业内涵，为辅导员主动提升专业素养和职业能力指出路径和方向，特制定本办法。</w:t>
      </w:r>
    </w:p>
    <w:p>
      <w:pPr>
        <w:pStyle w:val="7"/>
      </w:pPr>
      <w:r>
        <w:rPr>
          <w:rFonts w:hint="eastAsia"/>
          <w:bCs/>
        </w:rPr>
        <w:t>第三条</w:t>
      </w:r>
      <w:r>
        <w:rPr>
          <w:rFonts w:hint="eastAsia"/>
        </w:rPr>
        <w:t xml:space="preserve">  本办法依据《普通高等学校辅导员队伍建设规定》、《高等学校辅导员职业能力标准（暂行）》、《关于加强和改进新形势下高校思想政治工作的意见》、《新乡医学院三全学院学工体系改革方案》（</w:t>
      </w:r>
      <w:r>
        <w:t>院发〔2014〕41号</w:t>
      </w:r>
      <w:r>
        <w:rPr>
          <w:rFonts w:hint="eastAsia"/>
        </w:rPr>
        <w:t>）和《新乡医学院三全学院通识教育实施方案》（</w:t>
      </w:r>
      <w:r>
        <w:t>院发〔2016〕37号</w:t>
      </w:r>
      <w:r>
        <w:rPr>
          <w:rFonts w:hint="eastAsia"/>
        </w:rPr>
        <w:t>）文件精神制定。</w:t>
      </w:r>
    </w:p>
    <w:p>
      <w:pPr>
        <w:pStyle w:val="6"/>
        <w:rPr>
          <w:w w:val="95"/>
        </w:rPr>
      </w:pPr>
      <w:r>
        <w:rPr>
          <w:rFonts w:hint="eastAsia"/>
          <w:w w:val="95"/>
        </w:rPr>
        <w:t>第二章  辅导员职业等级设置</w:t>
      </w:r>
    </w:p>
    <w:p>
      <w:pPr>
        <w:pStyle w:val="7"/>
      </w:pPr>
      <w:r>
        <w:rPr>
          <w:rFonts w:hint="eastAsia"/>
          <w:bCs/>
        </w:rPr>
        <w:t>第四条</w:t>
      </w:r>
      <w:r>
        <w:rPr>
          <w:rFonts w:hint="eastAsia"/>
        </w:rPr>
        <w:t xml:space="preserve">  辅导员职业等级是学校专门为专职辅导员设置的校内专业技术职务级别。</w:t>
      </w:r>
    </w:p>
    <w:p>
      <w:pPr>
        <w:pStyle w:val="7"/>
      </w:pPr>
      <w:r>
        <w:rPr>
          <w:rFonts w:hint="eastAsia"/>
          <w:bCs/>
        </w:rPr>
        <w:t>第五条</w:t>
      </w:r>
      <w:r>
        <w:rPr>
          <w:rFonts w:hint="eastAsia"/>
        </w:rPr>
        <w:t xml:space="preserve">  辅导员职业等级设置为六个等级。其中，一级、二级辅导员为专家型辅导员（《高等学校辅导员职业能力标准（暂行）》（下文简称《标准》）中对应高级），三级、四级辅导员为研究型辅导员（《标准》中对应中级），五级、六级辅导员为执行型辅导员（《标准》中对应初级）。每个等级根据辅导员日常工作及考核情况、教学与科研情况、职业发展情况进行认定。</w:t>
      </w:r>
    </w:p>
    <w:p>
      <w:pPr>
        <w:pStyle w:val="7"/>
      </w:pPr>
      <w:r>
        <w:rPr>
          <w:rFonts w:hint="eastAsia"/>
          <w:bCs/>
        </w:rPr>
        <w:t>第六条</w:t>
      </w:r>
      <w:r>
        <w:rPr>
          <w:rFonts w:hint="eastAsia"/>
        </w:rPr>
        <w:t xml:space="preserve">  各等级辅导员比例由人力资源部主导、学务部配合，根据学校整体发展需求确定。</w:t>
      </w:r>
    </w:p>
    <w:p>
      <w:pPr>
        <w:pStyle w:val="6"/>
        <w:rPr>
          <w:w w:val="95"/>
        </w:rPr>
      </w:pPr>
      <w:r>
        <w:rPr>
          <w:rFonts w:hint="eastAsia"/>
          <w:w w:val="95"/>
        </w:rPr>
        <w:t>第三章  各职业等级辅导员工作职责</w:t>
      </w:r>
    </w:p>
    <w:p>
      <w:pPr>
        <w:pStyle w:val="7"/>
      </w:pPr>
      <w:r>
        <w:rPr>
          <w:rFonts w:hint="eastAsia"/>
          <w:bCs/>
        </w:rPr>
        <w:t>第七条</w:t>
      </w:r>
      <w:r>
        <w:rPr>
          <w:rFonts w:hint="eastAsia"/>
        </w:rPr>
        <w:t xml:space="preserve">  五、六级辅导员工作职责</w:t>
      </w:r>
    </w:p>
    <w:p>
      <w:pPr>
        <w:pStyle w:val="7"/>
      </w:pPr>
      <w:r>
        <w:rPr>
          <w:rFonts w:hint="eastAsia"/>
        </w:rPr>
        <w:t>1.学生教育与管理：负责10个自然班（约300名学生）的教育与管理工作。</w:t>
      </w:r>
    </w:p>
    <w:p>
      <w:pPr>
        <w:pStyle w:val="7"/>
      </w:pPr>
      <w:r>
        <w:rPr>
          <w:rFonts w:hint="eastAsia"/>
        </w:rPr>
        <w:t>（1）思想政治教育：熟悉学生及其家庭基本信息，掌握学生思想动态及思想政治状况；深入开展中国特色社会主义、中国梦宣传教育和社会主义核心价值观教育，帮助学生树立正确的世界观、人生观、价值观，确立在中国共产党领导下走中国特色社会主义道路、实现中华民族伟大复兴的共同理想和坚定信念；有针对性地帮助大学生处理好学习成才、择业交友、健康生活等方面的具体问题。</w:t>
      </w:r>
    </w:p>
    <w:p>
      <w:pPr>
        <w:pStyle w:val="7"/>
      </w:pPr>
      <w:r>
        <w:rPr>
          <w:rFonts w:hint="eastAsia"/>
        </w:rPr>
        <w:t>（2）党团和班级建设：做好学生骨干的遴选、培养、激励工作；做好学生入党积极分子培养教育工作；做好学生党员发展和教育管理服务工作；指导学生党支部和班团组织建设。</w:t>
      </w:r>
    </w:p>
    <w:p>
      <w:pPr>
        <w:pStyle w:val="7"/>
      </w:pPr>
      <w:r>
        <w:rPr>
          <w:rFonts w:hint="eastAsia"/>
        </w:rPr>
        <w:t>（3）学业指导：了解学生所学专业的基本情况，组织开展专业教育；培养学生学习兴趣，指导学生养成良好的学习习惯，规范学生学习方式行为；组织开展学风建设，营造浓厚学习氛围。</w:t>
      </w:r>
    </w:p>
    <w:p>
      <w:pPr>
        <w:pStyle w:val="7"/>
      </w:pPr>
      <w:r>
        <w:rPr>
          <w:rFonts w:hint="eastAsia"/>
        </w:rPr>
        <w:t>（4）日常事务管理：开展新生入学教育；做好毕业生离校教育、管理和服务工作；组织好学生军训工作；有效开展助、贷、勤、减、补工作，落实好家庭经济困难学生的资助工作；做好学生奖励评优和奖学金评审工作；为学生日常事务提供基本咨询和生活指导；指导学生开展宿舍文化建设，促进学生和谐相处，互帮互助。</w:t>
      </w:r>
    </w:p>
    <w:p>
      <w:pPr>
        <w:pStyle w:val="7"/>
      </w:pPr>
      <w:r>
        <w:rPr>
          <w:rFonts w:hint="eastAsia"/>
        </w:rPr>
        <w:t>（5）心理健康教育与咨询：协助学校心理健康教育机构开展心理筛查；对学生进行初步心理问题排查和疏导；组织开展心理健康教育宣传活动。</w:t>
      </w:r>
    </w:p>
    <w:p>
      <w:pPr>
        <w:pStyle w:val="7"/>
      </w:pPr>
      <w:r>
        <w:rPr>
          <w:rFonts w:hint="eastAsia"/>
        </w:rPr>
        <w:t>（6）网络思想政治教育：构建网络思想政治教育重要阵地，有效传播先进文化、弘扬主旋律；拓展工作途径，加强与学生的网上互动交流，运用网络平台为学生提供学习、生活、就业心理咨询等服务；及时了解网络舆情信息，密切关注学生的网络动态，敏锐把握一些苗头性、倾向性、群体性问题。</w:t>
      </w:r>
    </w:p>
    <w:p>
      <w:pPr>
        <w:pStyle w:val="7"/>
      </w:pPr>
      <w:r>
        <w:rPr>
          <w:rFonts w:hint="eastAsia"/>
        </w:rPr>
        <w:t>（7）危机事件应对：对危机事件作初步处理，努力稳定并控制局面；了解事件相关信息并及时逐级上报，组织基本安全教育并建立基层应急队伍。</w:t>
      </w:r>
    </w:p>
    <w:p>
      <w:pPr>
        <w:pStyle w:val="7"/>
      </w:pPr>
      <w:r>
        <w:rPr>
          <w:rFonts w:hint="eastAsia"/>
        </w:rPr>
        <w:t>（8）职业规划与就业创业指导：为学生提供高效优质的就业创业指导和信息服务；帮助学生树立正确的就业创业观念，培养学生创新精神，强化创业意识，提升创新创业能力。</w:t>
      </w:r>
    </w:p>
    <w:p>
      <w:pPr>
        <w:pStyle w:val="7"/>
      </w:pPr>
      <w:r>
        <w:rPr>
          <w:rFonts w:hint="eastAsia"/>
        </w:rPr>
        <w:t>2.社会服务：落实与相关院（系、部）的互访计划，积极解决工作中实际遇到的问题。</w:t>
      </w:r>
    </w:p>
    <w:p>
      <w:pPr>
        <w:pStyle w:val="7"/>
      </w:pPr>
      <w:r>
        <w:rPr>
          <w:rFonts w:hint="eastAsia"/>
        </w:rPr>
        <w:t>3.教学和科研：在上级辅导员指导下，参与体验式通识实践课的教学工作；积极主动参与相关科研工作，培养科研素养和能力。</w:t>
      </w:r>
    </w:p>
    <w:p>
      <w:pPr>
        <w:pStyle w:val="7"/>
      </w:pPr>
      <w:r>
        <w:rPr>
          <w:rFonts w:hint="eastAsia"/>
          <w:bCs/>
        </w:rPr>
        <w:t>第八条</w:t>
      </w:r>
      <w:r>
        <w:rPr>
          <w:rFonts w:hint="eastAsia"/>
        </w:rPr>
        <w:t xml:space="preserve">  四级辅导员工作职责</w:t>
      </w:r>
    </w:p>
    <w:p>
      <w:pPr>
        <w:pStyle w:val="7"/>
      </w:pPr>
      <w:r>
        <w:rPr>
          <w:rFonts w:hint="eastAsia"/>
        </w:rPr>
        <w:t>1.学生教育与管理：负责8个自然班（约240名学生）的学生教育与管理。对所带学生履行五、六级辅导员的教育与管理职责。</w:t>
      </w:r>
    </w:p>
    <w:p>
      <w:pPr>
        <w:pStyle w:val="7"/>
      </w:pPr>
      <w:r>
        <w:rPr>
          <w:rFonts w:hint="eastAsia"/>
        </w:rPr>
        <w:t>2.社会服务：落实与相关院（系、部）的互访计划，积极解决工作中实际遇到的问题。</w:t>
      </w:r>
    </w:p>
    <w:p>
      <w:pPr>
        <w:pStyle w:val="7"/>
      </w:pPr>
      <w:r>
        <w:rPr>
          <w:rFonts w:hint="eastAsia"/>
        </w:rPr>
        <w:t>3.教学方面：学校鼓励优秀的四级辅导员承担适量的通识教育教学任务，除承担书院安排的体验式通识教育实践课教学任务外，承担一定数量的通识教育理论课教学。</w:t>
      </w:r>
    </w:p>
    <w:p>
      <w:pPr>
        <w:pStyle w:val="7"/>
      </w:pPr>
      <w:r>
        <w:rPr>
          <w:rFonts w:hint="eastAsia"/>
        </w:rPr>
        <w:t>4.科研方面：参与或主持通识教育和学生工作（双创、心理健康、职业发展、学生资助、党团教育等）相关研究。</w:t>
      </w:r>
    </w:p>
    <w:p>
      <w:pPr>
        <w:pStyle w:val="7"/>
      </w:pPr>
      <w:r>
        <w:rPr>
          <w:rFonts w:hint="eastAsia"/>
          <w:bCs/>
        </w:rPr>
        <w:t>第九条</w:t>
      </w:r>
      <w:r>
        <w:rPr>
          <w:rFonts w:hint="eastAsia"/>
        </w:rPr>
        <w:t xml:space="preserve">  三级辅导员工作职责</w:t>
      </w:r>
    </w:p>
    <w:p>
      <w:pPr>
        <w:pStyle w:val="7"/>
      </w:pPr>
      <w:r>
        <w:rPr>
          <w:rFonts w:hint="eastAsia"/>
        </w:rPr>
        <w:t>1.学生教育与管理：负责5个自然班（约150名学生）的学生教育与管理。对所带学生履行五、六级辅导员的教育与管理职责。</w:t>
      </w:r>
    </w:p>
    <w:p>
      <w:pPr>
        <w:pStyle w:val="7"/>
      </w:pPr>
      <w:r>
        <w:rPr>
          <w:rFonts w:hint="eastAsia"/>
        </w:rPr>
        <w:t>2.社会服务：落实与相关院（系、部）的互访计划，积极解决工作中实际遇到的问题。</w:t>
      </w:r>
    </w:p>
    <w:p>
      <w:pPr>
        <w:pStyle w:val="7"/>
      </w:pPr>
      <w:r>
        <w:rPr>
          <w:rFonts w:hint="eastAsia"/>
        </w:rPr>
        <w:t>3.教学方面：系统承担1门及以上通识教育理论课程的教学任务，系统主持体验式通识教育实践课教学任务并完成书院安排的相关教学任务。</w:t>
      </w:r>
    </w:p>
    <w:p>
      <w:pPr>
        <w:pStyle w:val="7"/>
      </w:pPr>
      <w:r>
        <w:rPr>
          <w:rFonts w:hint="eastAsia"/>
        </w:rPr>
        <w:t>4.科研方面：主持或主要参与通识教育和学生工作（心理健康、职业发展、学生资助、党团教育等）相关研究。</w:t>
      </w:r>
    </w:p>
    <w:p>
      <w:pPr>
        <w:pStyle w:val="7"/>
      </w:pPr>
      <w:r>
        <w:rPr>
          <w:rFonts w:hint="eastAsia"/>
          <w:bCs/>
        </w:rPr>
        <w:t>第十条</w:t>
      </w:r>
      <w:r>
        <w:rPr>
          <w:rFonts w:hint="eastAsia"/>
        </w:rPr>
        <w:t xml:space="preserve">  二级辅导员工作职责</w:t>
      </w:r>
    </w:p>
    <w:p>
      <w:pPr>
        <w:pStyle w:val="7"/>
      </w:pPr>
      <w:r>
        <w:rPr>
          <w:rFonts w:hint="eastAsia"/>
        </w:rPr>
        <w:t>1.学生教育与管理：承担适量学生的教育与管理工作，对所带学生履行五、六级辅导员的教育与管理职责。指导三级及以下辅导员业务工作。</w:t>
      </w:r>
    </w:p>
    <w:p>
      <w:pPr>
        <w:pStyle w:val="7"/>
      </w:pPr>
      <w:r>
        <w:rPr>
          <w:rFonts w:hint="eastAsia"/>
        </w:rPr>
        <w:t>2.社会服务：与相关院（系、部）进行沟通，制定互访计划，积极解决工作中遇到的实际问题。</w:t>
      </w:r>
    </w:p>
    <w:p>
      <w:pPr>
        <w:pStyle w:val="7"/>
      </w:pPr>
      <w:r>
        <w:rPr>
          <w:rFonts w:hint="eastAsia"/>
        </w:rPr>
        <w:t>3.教学方面：系统承担2门及以上教育理论通识课程的教学任务；系统主持体验式通识教育实践课教学任务并完成书院安排的相关教学任务；指导下级辅导员完成体验式通识教育实践课教学任务。</w:t>
      </w:r>
    </w:p>
    <w:p>
      <w:pPr>
        <w:pStyle w:val="7"/>
      </w:pPr>
      <w:r>
        <w:rPr>
          <w:rFonts w:hint="eastAsia"/>
        </w:rPr>
        <w:t>4.科研方面：主持通识教育和学生工作（心理健康、职业发展、学生资助、党团教育等）相关研究。</w:t>
      </w:r>
    </w:p>
    <w:p>
      <w:pPr>
        <w:pStyle w:val="7"/>
      </w:pPr>
      <w:r>
        <w:rPr>
          <w:rFonts w:hint="eastAsia"/>
          <w:bCs/>
        </w:rPr>
        <w:t>第十一条</w:t>
      </w:r>
      <w:r>
        <w:rPr>
          <w:rFonts w:hint="eastAsia"/>
        </w:rPr>
        <w:t xml:space="preserve">  一级辅导员工作职责</w:t>
      </w:r>
    </w:p>
    <w:p>
      <w:pPr>
        <w:pStyle w:val="7"/>
      </w:pPr>
      <w:r>
        <w:rPr>
          <w:rFonts w:hint="eastAsia"/>
        </w:rPr>
        <w:t>1.书院事务：</w:t>
      </w:r>
    </w:p>
    <w:p>
      <w:pPr>
        <w:pStyle w:val="7"/>
      </w:pPr>
      <w:r>
        <w:rPr>
          <w:rFonts w:hint="eastAsia"/>
        </w:rPr>
        <w:t>（1）协助书院党政领导进行书院内涵建设，指导与创新学生组织的管理与运行，研发书院通识教育课程；</w:t>
      </w:r>
    </w:p>
    <w:p>
      <w:pPr>
        <w:pStyle w:val="7"/>
      </w:pPr>
      <w:r>
        <w:rPr>
          <w:rFonts w:hint="eastAsia"/>
        </w:rPr>
        <w:t>（2）作为学校辅导员专家成员，在人力资源部和学务部的组织协调下参与辅导员的引进、培训、职级与等级评定（二级及以下）等工作。</w:t>
      </w:r>
    </w:p>
    <w:p>
      <w:pPr>
        <w:pStyle w:val="7"/>
      </w:pPr>
      <w:r>
        <w:rPr>
          <w:rFonts w:hint="eastAsia"/>
        </w:rPr>
        <w:t>2.社会服务：与相关院（系、部）进行沟通，制定互访计划，积极解决工作中遇到的实际问题。</w:t>
      </w:r>
    </w:p>
    <w:p>
      <w:pPr>
        <w:pStyle w:val="7"/>
      </w:pPr>
      <w:r>
        <w:rPr>
          <w:rFonts w:hint="eastAsia"/>
        </w:rPr>
        <w:t>3.教学方面：组织安排通识教育课程教学工作，系统承担2门及以上通识课程理论课的教学任务，不断开发或完善各类通识课程体系，设计并不断固化各类体验式通识教育实践课；指导二级及以下辅导员的教学科研工作。</w:t>
      </w:r>
    </w:p>
    <w:p>
      <w:pPr>
        <w:pStyle w:val="7"/>
      </w:pPr>
      <w:r>
        <w:rPr>
          <w:rFonts w:hint="eastAsia"/>
        </w:rPr>
        <w:t>4.科研方面：主持通识教育和学生工作（心理健康、职业发展、学生资助、党团教育等）相关专业研究，参与学校学生工作改革，定期主持相关研究学术讲座、学术沙龙等交流活动。</w:t>
      </w:r>
    </w:p>
    <w:p>
      <w:pPr>
        <w:pStyle w:val="6"/>
        <w:rPr>
          <w:w w:val="95"/>
        </w:rPr>
      </w:pPr>
      <w:r>
        <w:rPr>
          <w:rFonts w:hint="eastAsia"/>
          <w:w w:val="95"/>
        </w:rPr>
        <w:t>第四章  辅导员职业等级任职资格</w:t>
      </w:r>
    </w:p>
    <w:p>
      <w:pPr>
        <w:pStyle w:val="7"/>
      </w:pPr>
      <w:r>
        <w:rPr>
          <w:rFonts w:hint="eastAsia"/>
          <w:bCs/>
        </w:rPr>
        <w:t>第十二条</w:t>
      </w:r>
      <w:r>
        <w:rPr>
          <w:rFonts w:hint="eastAsia"/>
        </w:rPr>
        <w:t xml:space="preserve">  基本条件</w:t>
      </w:r>
    </w:p>
    <w:p>
      <w:pPr>
        <w:pStyle w:val="7"/>
      </w:pPr>
      <w:r>
        <w:rPr>
          <w:rFonts w:hint="eastAsia"/>
        </w:rPr>
        <w:t>1.具有较高的马克思主义理论水平和政策水平，思想政治素质好、觉悟高，能自觉坚持四项基本原则，具有较强的政治分辨能力。</w:t>
      </w:r>
    </w:p>
    <w:p>
      <w:pPr>
        <w:pStyle w:val="7"/>
      </w:pPr>
      <w:r>
        <w:rPr>
          <w:rFonts w:hint="eastAsia"/>
        </w:rPr>
        <w:t>2.热爱教育事业，热爱学生工作，热爱学生；具有良好的职业道德，勤勉敬业，情操高尚；具有强烈的责任心、使命感和奉献精神；讲求团结，顾全大局；服从领导，坚持原则，办事公道。</w:t>
      </w:r>
    </w:p>
    <w:p>
      <w:pPr>
        <w:pStyle w:val="7"/>
      </w:pPr>
      <w:r>
        <w:rPr>
          <w:rFonts w:hint="eastAsia"/>
        </w:rPr>
        <w:t>3.具有从事思想政治教育、心理健康教育、就业指导和咨询等有关科研的基本素质，具有较强的组织管理、调查研究、语言文字表达和解决实际问题的能力，在校期间有一定的学生干部经历。</w:t>
      </w:r>
    </w:p>
    <w:p>
      <w:pPr>
        <w:pStyle w:val="7"/>
      </w:pPr>
      <w:r>
        <w:rPr>
          <w:rFonts w:hint="eastAsia"/>
        </w:rPr>
        <w:t>4.身心健康，精神面貌良好，能够履行正常的工作职责。</w:t>
      </w:r>
    </w:p>
    <w:p>
      <w:pPr>
        <w:pStyle w:val="7"/>
      </w:pPr>
      <w:r>
        <w:rPr>
          <w:rFonts w:hint="eastAsia"/>
        </w:rPr>
        <w:t>5.遵纪守法，遵守国家法律法规及学校规章制度，无违法违纪记录。</w:t>
      </w:r>
    </w:p>
    <w:p>
      <w:pPr>
        <w:pStyle w:val="7"/>
      </w:pPr>
      <w:r>
        <w:rPr>
          <w:rFonts w:hint="eastAsia"/>
        </w:rPr>
        <w:t>6.大学本科及以上学历。</w:t>
      </w:r>
    </w:p>
    <w:p>
      <w:pPr>
        <w:pStyle w:val="7"/>
      </w:pPr>
      <w:r>
        <w:rPr>
          <w:rFonts w:hint="eastAsia"/>
        </w:rPr>
        <w:t>7.中共党员(含预备党员)。</w:t>
      </w:r>
    </w:p>
    <w:p>
      <w:pPr>
        <w:pStyle w:val="7"/>
      </w:pPr>
      <w:r>
        <w:rPr>
          <w:rFonts w:hint="eastAsia"/>
        </w:rPr>
        <w:t>8.各级辅导员应符合《标准》所对应职业等级能力要求。</w:t>
      </w:r>
    </w:p>
    <w:p>
      <w:pPr>
        <w:pStyle w:val="7"/>
      </w:pPr>
      <w:r>
        <w:rPr>
          <w:rFonts w:hint="eastAsia"/>
          <w:bCs/>
        </w:rPr>
        <w:t>第十三条</w:t>
      </w:r>
      <w:r>
        <w:rPr>
          <w:rFonts w:hint="eastAsia"/>
        </w:rPr>
        <w:t xml:space="preserve">  任职条件</w:t>
      </w:r>
    </w:p>
    <w:p>
      <w:pPr>
        <w:pStyle w:val="7"/>
      </w:pPr>
      <w:r>
        <w:rPr>
          <w:rFonts w:hint="eastAsia"/>
        </w:rPr>
        <w:t>1.任职六级辅导员，需满足下列条件：</w:t>
      </w:r>
    </w:p>
    <w:p>
      <w:pPr>
        <w:pStyle w:val="7"/>
      </w:pPr>
      <w:r>
        <w:rPr>
          <w:rFonts w:hint="eastAsia"/>
        </w:rPr>
        <w:t>本科学历学士学位，工作满1年考核合格；或硕士，试用期满合格。任辅导员期间无不良影响事件。</w:t>
      </w:r>
    </w:p>
    <w:p>
      <w:pPr>
        <w:pStyle w:val="7"/>
      </w:pPr>
      <w:r>
        <w:rPr>
          <w:rFonts w:hint="eastAsia"/>
        </w:rPr>
        <w:t>2.任职五级辅导员，需满足下列条件：</w:t>
      </w:r>
    </w:p>
    <w:p>
      <w:pPr>
        <w:pStyle w:val="7"/>
      </w:pPr>
      <w:r>
        <w:rPr>
          <w:rFonts w:hint="eastAsia"/>
        </w:rPr>
        <w:t>（1）硕士学位，取得高校教师资格证。</w:t>
      </w:r>
    </w:p>
    <w:p>
      <w:pPr>
        <w:pStyle w:val="7"/>
      </w:pPr>
      <w:r>
        <w:rPr>
          <w:rFonts w:hint="eastAsia"/>
        </w:rPr>
        <w:t>（2）日常工作及考核情况：</w:t>
      </w:r>
    </w:p>
    <w:p>
      <w:pPr>
        <w:pStyle w:val="7"/>
      </w:pPr>
      <w:r>
        <w:rPr>
          <w:rFonts w:hint="eastAsia"/>
        </w:rPr>
        <w:t>任六级辅导员工作满3年，考核无不合格记录且考核前两档2次以上，同时参照民主评议结果。任辅导员期间无不良影响事件。</w:t>
      </w:r>
    </w:p>
    <w:p>
      <w:pPr>
        <w:pStyle w:val="7"/>
      </w:pPr>
      <w:r>
        <w:rPr>
          <w:rFonts w:hint="eastAsia"/>
        </w:rPr>
        <w:t>（3）教学与科研情况：</w:t>
      </w:r>
    </w:p>
    <w:p>
      <w:pPr>
        <w:pStyle w:val="7"/>
      </w:pPr>
      <w:r>
        <w:rPr>
          <w:rFonts w:hint="eastAsia"/>
        </w:rPr>
        <w:t>教学效果合格；任六级辅导员期间在校内外刊物发表通识教育、学生工作相关领域论文1篇及以上（第一作者，工作单位注明“新乡医学院三全学院”）。</w:t>
      </w:r>
    </w:p>
    <w:p>
      <w:pPr>
        <w:pStyle w:val="7"/>
      </w:pPr>
      <w:r>
        <w:rPr>
          <w:rFonts w:hint="eastAsia"/>
        </w:rPr>
        <w:t>3.任职四级辅导员，需满足下列条件：</w:t>
      </w:r>
    </w:p>
    <w:p>
      <w:pPr>
        <w:pStyle w:val="7"/>
      </w:pPr>
      <w:r>
        <w:rPr>
          <w:rFonts w:hint="eastAsia"/>
        </w:rPr>
        <w:t>（1）硕士学位，取得高校教师资格证。</w:t>
      </w:r>
    </w:p>
    <w:p>
      <w:pPr>
        <w:pStyle w:val="7"/>
      </w:pPr>
      <w:r>
        <w:rPr>
          <w:rFonts w:hint="eastAsia"/>
        </w:rPr>
        <w:t>（2）日常工作及考核情况：</w:t>
      </w:r>
    </w:p>
    <w:p>
      <w:pPr>
        <w:pStyle w:val="7"/>
      </w:pPr>
      <w:r>
        <w:rPr>
          <w:rFonts w:hint="eastAsia"/>
        </w:rPr>
        <w:t>任五级辅导员工作满3年，考核无不合格记录且考核前两档2次以上，同时参照民主评议结果。任辅导员期间无不良影响事件。</w:t>
      </w:r>
    </w:p>
    <w:p>
      <w:pPr>
        <w:pStyle w:val="7"/>
      </w:pPr>
      <w:r>
        <w:rPr>
          <w:rFonts w:hint="eastAsia"/>
        </w:rPr>
        <w:t>（3）教学与科研情况：</w:t>
      </w:r>
    </w:p>
    <w:p>
      <w:pPr>
        <w:pStyle w:val="7"/>
      </w:pPr>
      <w:r>
        <w:rPr>
          <w:rFonts w:hint="eastAsia"/>
        </w:rPr>
        <w:t>a.任五级辅导员期间完成通识教育课程教学任务，教学效果至少一次优秀。</w:t>
      </w:r>
    </w:p>
    <w:p>
      <w:pPr>
        <w:pStyle w:val="7"/>
      </w:pPr>
      <w:r>
        <w:rPr>
          <w:rFonts w:hint="eastAsia"/>
        </w:rPr>
        <w:t>b.任五级辅导员期间发表通识教育、学生工作相关领域CN论文2篇及以上（第一作者，工作单位注明“新乡医学院三全学院”），且是校级以上科研、教改项目或教学工程项目的主要完成人（前三名）；或参与完成地、厅级及以上课题1项（主要完成人前三）且发表相关领域CN论文1篇及以上（第一作者，工作单位注明“新乡医学院三全学院”）。</w:t>
      </w:r>
    </w:p>
    <w:p>
      <w:pPr>
        <w:pStyle w:val="7"/>
      </w:pPr>
      <w:r>
        <w:rPr>
          <w:rFonts w:hint="eastAsia"/>
        </w:rPr>
        <w:t>4.任职三级辅导员，需满足下列条件：</w:t>
      </w:r>
    </w:p>
    <w:p>
      <w:pPr>
        <w:pStyle w:val="7"/>
      </w:pPr>
      <w:r>
        <w:rPr>
          <w:rFonts w:hint="eastAsia"/>
        </w:rPr>
        <w:t>（1）日常工作及考核情况：</w:t>
      </w:r>
    </w:p>
    <w:p>
      <w:pPr>
        <w:pStyle w:val="7"/>
      </w:pPr>
      <w:r>
        <w:rPr>
          <w:rFonts w:hint="eastAsia"/>
        </w:rPr>
        <w:t>任四级辅导员工作满3年，考核无不合格记录且考核前两档2次以上，同时参照民主评议结果。任辅导员期间无不良影响事件。</w:t>
      </w:r>
    </w:p>
    <w:p>
      <w:pPr>
        <w:pStyle w:val="7"/>
      </w:pPr>
      <w:r>
        <w:rPr>
          <w:rFonts w:hint="eastAsia"/>
        </w:rPr>
        <w:t>（2）教学与科研情况：</w:t>
      </w:r>
    </w:p>
    <w:p>
      <w:pPr>
        <w:pStyle w:val="7"/>
      </w:pPr>
      <w:r>
        <w:rPr>
          <w:rFonts w:hint="eastAsia"/>
        </w:rPr>
        <w:t>a.完成通识教育课程教学任务，课时不低于四级辅导员年平均课时量。教学效果至少一次优秀。</w:t>
      </w:r>
    </w:p>
    <w:p>
      <w:pPr>
        <w:pStyle w:val="7"/>
      </w:pPr>
      <w:r>
        <w:rPr>
          <w:rFonts w:hint="eastAsia"/>
        </w:rPr>
        <w:t>b.任四级辅导员期间在核心期刊发表相关领域学术论文1篇及以上（第一作者，工作单位注明“新乡医学院三全学院”）；或主持完成地、厅级及以上课题1项且发表相关领域CN论文1篇及以上（第一作者，工作单位注明“新乡医学院三全学院”）。</w:t>
      </w:r>
    </w:p>
    <w:p>
      <w:pPr>
        <w:pStyle w:val="7"/>
      </w:pPr>
      <w:r>
        <w:rPr>
          <w:rFonts w:hint="eastAsia"/>
        </w:rPr>
        <w:t>（3）职业发展情况：</w:t>
      </w:r>
    </w:p>
    <w:p>
      <w:pPr>
        <w:pStyle w:val="7"/>
      </w:pPr>
      <w:r>
        <w:rPr>
          <w:rFonts w:hint="eastAsia"/>
        </w:rPr>
        <w:t>硕士学位，取得高校教师资格证；具备通识教育或专业教育相关学科中级专业技术资格（任职资格）证书或相关专业（非教师系列）执业资格证书。</w:t>
      </w:r>
    </w:p>
    <w:p>
      <w:pPr>
        <w:pStyle w:val="7"/>
      </w:pPr>
      <w:r>
        <w:rPr>
          <w:rFonts w:hint="eastAsia"/>
        </w:rPr>
        <w:t>5.任职二级辅导员，需满足下列条件：</w:t>
      </w:r>
    </w:p>
    <w:p>
      <w:pPr>
        <w:pStyle w:val="7"/>
      </w:pPr>
      <w:r>
        <w:rPr>
          <w:rFonts w:hint="eastAsia"/>
        </w:rPr>
        <w:t>（1）日常工作及考核情况：</w:t>
      </w:r>
    </w:p>
    <w:p>
      <w:pPr>
        <w:pStyle w:val="7"/>
      </w:pPr>
      <w:r>
        <w:rPr>
          <w:rFonts w:hint="eastAsia"/>
        </w:rPr>
        <w:t>任三级辅导员工作满3年，考核无不合格记录且考核前两档2次以上，同时参照民主评议结果。任辅导员期间无不良影响事件。</w:t>
      </w:r>
    </w:p>
    <w:p>
      <w:pPr>
        <w:pStyle w:val="7"/>
      </w:pPr>
      <w:r>
        <w:rPr>
          <w:rFonts w:hint="eastAsia"/>
        </w:rPr>
        <w:t>（2）教学与科研情况：</w:t>
      </w:r>
    </w:p>
    <w:p>
      <w:pPr>
        <w:pStyle w:val="7"/>
      </w:pPr>
      <w:r>
        <w:rPr>
          <w:rFonts w:hint="eastAsia"/>
        </w:rPr>
        <w:t>a.完成要求的通识教育课程教学任务，课时不低于三级辅导员年平均课时量。教学效果至少一次优秀。</w:t>
      </w:r>
    </w:p>
    <w:p>
      <w:pPr>
        <w:pStyle w:val="7"/>
      </w:pPr>
      <w:r>
        <w:rPr>
          <w:rFonts w:hint="eastAsia"/>
        </w:rPr>
        <w:t>b.任三级辅导员期间在核心期刊发表相关领域学术论文2篇及以上（第一作者，工作单位注明“新乡医学院三全学院”）；</w:t>
      </w:r>
    </w:p>
    <w:p>
      <w:pPr>
        <w:pStyle w:val="7"/>
      </w:pPr>
      <w:r>
        <w:rPr>
          <w:rFonts w:hint="eastAsia"/>
        </w:rPr>
        <w:t>c.参与完成省级及以上课题1项及以上（主要完成人前三）。</w:t>
      </w:r>
    </w:p>
    <w:p>
      <w:pPr>
        <w:pStyle w:val="7"/>
      </w:pPr>
      <w:r>
        <w:rPr>
          <w:rFonts w:hint="eastAsia"/>
        </w:rPr>
        <w:t>（3）职业发展情况：</w:t>
      </w:r>
    </w:p>
    <w:p>
      <w:pPr>
        <w:pStyle w:val="7"/>
      </w:pPr>
      <w:r>
        <w:rPr>
          <w:rFonts w:hint="eastAsia"/>
        </w:rPr>
        <w:t>硕士学位，取得高校教师资格证；具备通识教育或专业教育相关学科高级专业技术资格（任职资格）证书。</w:t>
      </w:r>
    </w:p>
    <w:p>
      <w:pPr>
        <w:pStyle w:val="7"/>
      </w:pPr>
      <w:r>
        <w:rPr>
          <w:rFonts w:hint="eastAsia"/>
        </w:rPr>
        <w:t>6.任职一级辅导员，需满足下列条件：</w:t>
      </w:r>
    </w:p>
    <w:p>
      <w:pPr>
        <w:pStyle w:val="7"/>
      </w:pPr>
      <w:r>
        <w:rPr>
          <w:rFonts w:hint="eastAsia"/>
        </w:rPr>
        <w:t>（1）日常工作及考核情况：</w:t>
      </w:r>
    </w:p>
    <w:p>
      <w:pPr>
        <w:pStyle w:val="7"/>
      </w:pPr>
      <w:r>
        <w:rPr>
          <w:rFonts w:hint="eastAsia"/>
        </w:rPr>
        <w:t>任二级辅导员工作满3年，考核无不合格记录且考核前两档2次以上，同时参照民主评议结果。任辅导员期间无不良影响事件。</w:t>
      </w:r>
    </w:p>
    <w:p>
      <w:pPr>
        <w:pStyle w:val="7"/>
      </w:pPr>
      <w:r>
        <w:rPr>
          <w:rFonts w:hint="eastAsia"/>
        </w:rPr>
        <w:t>（2）教学与科研情况：</w:t>
      </w:r>
    </w:p>
    <w:p>
      <w:pPr>
        <w:pStyle w:val="7"/>
      </w:pPr>
      <w:r>
        <w:rPr>
          <w:rFonts w:hint="eastAsia"/>
        </w:rPr>
        <w:t>a.完成要求的通识教育课程教学任务，课时不低于二级辅导员年平均课时量。教学效果至少一次优秀。</w:t>
      </w:r>
    </w:p>
    <w:p>
      <w:pPr>
        <w:pStyle w:val="7"/>
      </w:pPr>
      <w:r>
        <w:rPr>
          <w:rFonts w:hint="eastAsia"/>
        </w:rPr>
        <w:t>b.任二级辅导员期间在核心期刊发表相关领域学术论文（第一作者，工作单位注明“新乡医学院三全学院”）4篇及以上。</w:t>
      </w:r>
    </w:p>
    <w:p>
      <w:pPr>
        <w:pStyle w:val="7"/>
      </w:pPr>
      <w:r>
        <w:rPr>
          <w:rFonts w:hint="eastAsia"/>
        </w:rPr>
        <w:t>c.任二级辅导员期间主持完成省级及以上课题1项及以上；或省部级二等及以上科技奖（限前7名）、社会科学优秀成果奖二等及以上（限前3名）的主要完成人、或省级教学成果奖二等及以上奖励（限前3名）的主要完成人。</w:t>
      </w:r>
    </w:p>
    <w:p>
      <w:pPr>
        <w:pStyle w:val="7"/>
      </w:pPr>
      <w:r>
        <w:rPr>
          <w:rFonts w:hint="eastAsia"/>
        </w:rPr>
        <w:t>（3）职业发展情况：</w:t>
      </w:r>
    </w:p>
    <w:p>
      <w:pPr>
        <w:pStyle w:val="7"/>
      </w:pPr>
      <w:r>
        <w:rPr>
          <w:rFonts w:hint="eastAsia"/>
        </w:rPr>
        <w:t>硕士学位，取得高校教师资格证；具备通识教育或专业教育相关学科高级专业技术资格（任职资格）证书。</w:t>
      </w:r>
    </w:p>
    <w:p>
      <w:pPr>
        <w:pStyle w:val="7"/>
      </w:pPr>
      <w:r>
        <w:rPr>
          <w:rFonts w:hint="eastAsia"/>
          <w:bCs/>
        </w:rPr>
        <w:t>第十四条</w:t>
      </w:r>
      <w:r>
        <w:rPr>
          <w:rFonts w:hint="eastAsia"/>
        </w:rPr>
        <w:t xml:space="preserve">  获得博士学位者，或其他特殊情况，由人力资源部主导、学务部配合，根据实际情况共同认定。</w:t>
      </w:r>
    </w:p>
    <w:p>
      <w:pPr>
        <w:pStyle w:val="7"/>
      </w:pPr>
      <w:r>
        <w:rPr>
          <w:rFonts w:hint="eastAsia"/>
          <w:bCs/>
        </w:rPr>
        <w:t>第十五条</w:t>
      </w:r>
      <w:r>
        <w:rPr>
          <w:rFonts w:hint="eastAsia"/>
        </w:rPr>
        <w:t xml:space="preserve">  辅导员任职期间，有下列情况之一，认定降一级。</w:t>
      </w:r>
    </w:p>
    <w:p>
      <w:pPr>
        <w:pStyle w:val="7"/>
      </w:pPr>
      <w:r>
        <w:rPr>
          <w:rFonts w:hint="eastAsia"/>
        </w:rPr>
        <w:t>1.任辅导员期间出现重大群体事件或给学校带来不良影响事件；</w:t>
      </w:r>
    </w:p>
    <w:p>
      <w:pPr>
        <w:pStyle w:val="7"/>
      </w:pPr>
      <w:r>
        <w:rPr>
          <w:rFonts w:hint="eastAsia"/>
        </w:rPr>
        <w:t>2.在同一职级任职期间连续两年考核处于末档。</w:t>
      </w:r>
    </w:p>
    <w:p>
      <w:pPr>
        <w:pStyle w:val="6"/>
      </w:pPr>
      <w:r>
        <w:rPr>
          <w:rFonts w:hint="eastAsia"/>
        </w:rPr>
        <w:t>第五章  辅导员职业等级评定与聘任</w:t>
      </w:r>
    </w:p>
    <w:p>
      <w:pPr>
        <w:pStyle w:val="7"/>
      </w:pPr>
      <w:r>
        <w:rPr>
          <w:rFonts w:hint="eastAsia"/>
          <w:bCs/>
        </w:rPr>
        <w:t>第十六条</w:t>
      </w:r>
      <w:r>
        <w:rPr>
          <w:rFonts w:hint="eastAsia"/>
        </w:rPr>
        <w:t xml:space="preserve">  学校成立辅导员等级评审委员会，委员会设立办公室，挂靠在人力资源部。辅导员职业等级初次评定由人力资源部参照本文件实施，以后每年由人力资源部根据文件进行认定。</w:t>
      </w:r>
    </w:p>
    <w:p>
      <w:pPr>
        <w:pStyle w:val="7"/>
      </w:pPr>
      <w:r>
        <w:rPr>
          <w:rFonts w:hint="eastAsia"/>
          <w:bCs/>
        </w:rPr>
        <w:t>第十七条</w:t>
      </w:r>
      <w:r>
        <w:rPr>
          <w:rFonts w:hint="eastAsia"/>
        </w:rPr>
        <w:t xml:space="preserve">  辅导员根据每一年度等级化评定结果按照学校相关规定享受当年所聘任等级（晋升、留任或降级）薪酬，履行相应职责（辅导员工作制度、工作要求见附件1）。</w:t>
      </w:r>
    </w:p>
    <w:p>
      <w:pPr>
        <w:pStyle w:val="6"/>
      </w:pPr>
      <w:r>
        <w:rPr>
          <w:rFonts w:hint="eastAsia"/>
        </w:rPr>
        <w:t>第六章  辅导员的管理、培训、考核与薪酬</w:t>
      </w:r>
    </w:p>
    <w:p>
      <w:pPr>
        <w:pStyle w:val="7"/>
      </w:pPr>
      <w:r>
        <w:rPr>
          <w:rFonts w:hint="eastAsia"/>
          <w:bCs/>
        </w:rPr>
        <w:t>第十八条</w:t>
      </w:r>
      <w:r>
        <w:rPr>
          <w:rFonts w:hint="eastAsia"/>
        </w:rPr>
        <w:t xml:space="preserve">  辅导员的管理</w:t>
      </w:r>
    </w:p>
    <w:p>
      <w:pPr>
        <w:pStyle w:val="7"/>
      </w:pPr>
      <w:r>
        <w:rPr>
          <w:rFonts w:hint="eastAsia"/>
        </w:rPr>
        <w:t>辅导员实行学校和书院双重管理。学务部是辅导员工作指导和业务管理的职能部门；书院对辅导员进行直接领导和管理。</w:t>
      </w:r>
    </w:p>
    <w:p>
      <w:pPr>
        <w:pStyle w:val="7"/>
      </w:pPr>
      <w:r>
        <w:rPr>
          <w:rFonts w:hint="eastAsia"/>
          <w:bCs/>
        </w:rPr>
        <w:t xml:space="preserve">第十九条  </w:t>
      </w:r>
      <w:r>
        <w:rPr>
          <w:rFonts w:hint="eastAsia"/>
        </w:rPr>
        <w:t>辅导员的培训</w:t>
      </w:r>
    </w:p>
    <w:p>
      <w:pPr>
        <w:pStyle w:val="7"/>
      </w:pPr>
      <w:r>
        <w:rPr>
          <w:rFonts w:hint="eastAsia"/>
        </w:rPr>
        <w:t>辅导员培训参照《新乡医学院三全学院辅导员教育培训管理办法》（院学〔2015〕10号）执行。</w:t>
      </w:r>
    </w:p>
    <w:p>
      <w:pPr>
        <w:pStyle w:val="7"/>
      </w:pPr>
      <w:r>
        <w:rPr>
          <w:rFonts w:hint="eastAsia"/>
        </w:rPr>
        <w:t>第二十条  辅导员的考核</w:t>
      </w:r>
    </w:p>
    <w:p>
      <w:pPr>
        <w:pStyle w:val="7"/>
      </w:pPr>
      <w:r>
        <w:rPr>
          <w:rFonts w:hint="eastAsia"/>
        </w:rPr>
        <w:t>辅导员的考核按学校年度绩效考核方案执行。</w:t>
      </w:r>
    </w:p>
    <w:p>
      <w:pPr>
        <w:pStyle w:val="7"/>
      </w:pPr>
      <w:r>
        <w:rPr>
          <w:rFonts w:hint="eastAsia"/>
        </w:rPr>
        <w:t>第二十一条  辅导员的薪酬</w:t>
      </w:r>
    </w:p>
    <w:p>
      <w:pPr>
        <w:pStyle w:val="7"/>
      </w:pPr>
      <w:r>
        <w:rPr>
          <w:rFonts w:hint="eastAsia"/>
        </w:rPr>
        <w:t>学校鼓励和支持辅导员长期从事辅导员工作，积极创造条件，引导他们向专业化、职业化方向发展。设立辅导员工作津贴,标准按照国家相关文件执行，结合相关考核结果予以发放；各级辅导员薪酬参照学校行政级别薪酬，其中六级对应试用期，五级对应科员，四级对应二级机构负责人，三级对应中层副职，二级对应中层正职，一级对应副院级。</w:t>
      </w:r>
    </w:p>
    <w:p>
      <w:pPr>
        <w:pStyle w:val="6"/>
        <w:rPr>
          <w:w w:val="95"/>
        </w:rPr>
      </w:pPr>
      <w:r>
        <w:rPr>
          <w:rFonts w:hint="eastAsia"/>
          <w:w w:val="95"/>
        </w:rPr>
        <w:t>第七章  附  则</w:t>
      </w:r>
    </w:p>
    <w:p>
      <w:pPr>
        <w:pStyle w:val="7"/>
      </w:pPr>
      <w:r>
        <w:rPr>
          <w:rFonts w:hint="eastAsia"/>
          <w:bCs/>
        </w:rPr>
        <w:t>第二十二条</w:t>
      </w:r>
      <w:r>
        <w:rPr>
          <w:rFonts w:hint="eastAsia"/>
        </w:rPr>
        <w:t xml:space="preserve">  本办法适用于全体辅导员，自公布之日起实施。其他有关文件规定与本规定不一致的，以本规定为准。</w:t>
      </w:r>
    </w:p>
    <w:p>
      <w:pPr>
        <w:pStyle w:val="7"/>
      </w:pPr>
      <w:r>
        <w:rPr>
          <w:rFonts w:hint="eastAsia"/>
          <w:bCs/>
        </w:rPr>
        <w:t>第二十三条</w:t>
      </w:r>
      <w:r>
        <w:rPr>
          <w:rFonts w:hint="eastAsia"/>
        </w:rPr>
        <w:t xml:space="preserve">  本办法由学务部和人力资源部负责解释。</w:t>
      </w:r>
    </w:p>
    <w:p>
      <w:pPr>
        <w:pStyle w:val="7"/>
      </w:pPr>
    </w:p>
    <w:p>
      <w:pPr>
        <w:pStyle w:val="7"/>
      </w:pPr>
      <w:r>
        <w:rPr>
          <w:rFonts w:hint="eastAsia"/>
        </w:rPr>
        <w:t>附件：1.辅导员的工作制度及工作要求</w:t>
      </w:r>
    </w:p>
    <w:p>
      <w:pPr>
        <w:pStyle w:val="10"/>
        <w:ind w:left="1926" w:hanging="320"/>
      </w:pPr>
      <w:r>
        <w:rPr>
          <w:rFonts w:hint="eastAsia"/>
        </w:rPr>
        <w:t>2.    ——    学年辅导员等级评定申请表</w:t>
      </w:r>
    </w:p>
    <w:p>
      <w:pPr>
        <w:pStyle w:val="7"/>
      </w:pPr>
    </w:p>
    <w:p>
      <w:pPr>
        <w:pStyle w:val="7"/>
      </w:pPr>
    </w:p>
    <w:p>
      <w:pPr>
        <w:pStyle w:val="8"/>
      </w:pPr>
      <w:r>
        <w:rPr>
          <w:rFonts w:hint="eastAsia"/>
        </w:rPr>
        <w:t>2017年6</w:t>
      </w:r>
      <w:bookmarkStart w:id="1" w:name="_GoBack"/>
      <w:bookmarkEnd w:id="1"/>
      <w:r>
        <w:rPr>
          <w:rFonts w:hint="eastAsia"/>
        </w:rPr>
        <w:t>月5日</w:t>
      </w:r>
    </w:p>
    <w:p>
      <w:pPr>
        <w:widowControl/>
        <w:jc w:val="left"/>
        <w:rPr>
          <w:rFonts w:ascii="仿宋_GB2312" w:hAnsi="方正小标宋简体" w:eastAsia="仿宋_GB2312" w:cs="方正小标宋简体"/>
          <w:color w:val="000000"/>
          <w:kern w:val="0"/>
          <w:sz w:val="32"/>
          <w:szCs w:val="32"/>
        </w:rPr>
      </w:pPr>
      <w:r>
        <w:rPr>
          <w:rFonts w:hAnsi="方正小标宋简体" w:cs="方正小标宋简体"/>
          <w:kern w:val="0"/>
        </w:rPr>
        <w:br w:type="page"/>
      </w:r>
    </w:p>
    <w:p>
      <w:pPr>
        <w:pStyle w:val="9"/>
      </w:pPr>
      <w:r>
        <w:rPr>
          <w:rFonts w:hint="eastAsia"/>
        </w:rPr>
        <w:t>附件1</w:t>
      </w:r>
    </w:p>
    <w:p>
      <w:pPr>
        <w:adjustRightInd w:val="0"/>
        <w:snapToGrid w:val="0"/>
        <w:jc w:val="center"/>
        <w:rPr>
          <w:rFonts w:ascii="方正小标宋简体" w:hAnsi="楷体" w:eastAsia="方正小标宋简体"/>
          <w:sz w:val="44"/>
          <w:szCs w:val="36"/>
        </w:rPr>
      </w:pPr>
      <w:r>
        <w:rPr>
          <w:rFonts w:hint="eastAsia" w:ascii="方正小标宋简体" w:hAnsi="楷体" w:eastAsia="方正小标宋简体"/>
          <w:sz w:val="44"/>
          <w:szCs w:val="36"/>
        </w:rPr>
        <w:t>辅导员的工作制度及工作要求</w:t>
      </w:r>
    </w:p>
    <w:p>
      <w:pPr>
        <w:pStyle w:val="6"/>
      </w:pPr>
      <w:r>
        <w:rPr>
          <w:rFonts w:hint="eastAsia"/>
        </w:rPr>
        <w:t>一、辅导员工作制度</w:t>
      </w:r>
    </w:p>
    <w:p>
      <w:pPr>
        <w:pStyle w:val="7"/>
      </w:pPr>
      <w:r>
        <w:rPr>
          <w:rFonts w:hint="eastAsia"/>
        </w:rPr>
        <w:t>1.教学制度：一级、二级辅导员必须能够独立承担所在书院通识教育课程教学和科研工作并达到规定的数量和质量要求。三级辅导员须在入职2年内达到专任教师任职资格，未达标前作为教师助理承担部分实践性教学任务。凡在规定时间内不具备上述专任教师资格的辅导员应及时调整岗位。</w:t>
      </w:r>
    </w:p>
    <w:p>
      <w:pPr>
        <w:pStyle w:val="7"/>
      </w:pPr>
      <w:r>
        <w:rPr>
          <w:rFonts w:hint="eastAsia"/>
        </w:rPr>
        <w:t>2.</w:t>
      </w:r>
      <w:r>
        <w:rPr>
          <w:rFonts w:hint="eastAsia"/>
          <w:spacing w:val="-6"/>
        </w:rPr>
        <w:t>互访制：依据《新乡医学院三全学院院（系、部）、书院沟通协调机制管理办法》文件精神，切实贯彻落实本书院双院互访计划。</w:t>
      </w:r>
    </w:p>
    <w:p>
      <w:pPr>
        <w:pStyle w:val="7"/>
      </w:pPr>
      <w:r>
        <w:rPr>
          <w:rFonts w:hint="eastAsia"/>
        </w:rPr>
        <w:t>3.日志制：建立健全班级组织，完善信息工作队伍，及时发现和解决学生、班级各个方面的问题，严格执行查课、查寝、谈心谈话和主题班会制度，并如实、完整地记录工作日志。</w:t>
      </w:r>
    </w:p>
    <w:p>
      <w:pPr>
        <w:pStyle w:val="7"/>
      </w:pPr>
      <w:r>
        <w:rPr>
          <w:rFonts w:hint="eastAsia"/>
        </w:rPr>
        <w:t>4.档案制：建立并完善所管理学生的基本情况电子档案，包括家庭情况、困难情况、心理变化、学籍变动、奖惩情况、住宿情况等。</w:t>
      </w:r>
    </w:p>
    <w:p>
      <w:pPr>
        <w:pStyle w:val="7"/>
      </w:pPr>
      <w:r>
        <w:rPr>
          <w:rFonts w:hint="eastAsia"/>
        </w:rPr>
        <w:t>5.联系制：与学生家长保持联系，通报学生情况、听取家长意见、取得家长支持，积极发挥家长对学生教育的作用。</w:t>
      </w:r>
    </w:p>
    <w:p>
      <w:pPr>
        <w:pStyle w:val="7"/>
      </w:pPr>
      <w:r>
        <w:rPr>
          <w:rFonts w:hint="eastAsia"/>
        </w:rPr>
        <w:t>6.例会制：参加由书院召集的辅导员工作例会和学务部举办的辅导员工作论坛等，汇报工作，交流经验，研究和解决存在的问题，接受上级布置的工作。</w:t>
      </w:r>
    </w:p>
    <w:p>
      <w:pPr>
        <w:pStyle w:val="7"/>
      </w:pPr>
      <w:r>
        <w:rPr>
          <w:rFonts w:hint="eastAsia"/>
        </w:rPr>
        <w:t>7.值班制：为维护学校安全稳定，积极应对校园突发事件，各书院需安排辅导员轮流值班，按时打卡考勤,及时处理和汇报突发事件,并做好值班记录。</w:t>
      </w:r>
    </w:p>
    <w:p>
      <w:pPr>
        <w:pStyle w:val="7"/>
      </w:pPr>
      <w:r>
        <w:rPr>
          <w:rFonts w:hint="eastAsia"/>
        </w:rPr>
        <w:t>8.责任制：辅导员对其所管理的学生负责，当遇到重大和紧急事件时，辅导员是报告和处置的直接责任人。</w:t>
      </w:r>
    </w:p>
    <w:p>
      <w:pPr>
        <w:pStyle w:val="6"/>
      </w:pPr>
      <w:r>
        <w:rPr>
          <w:rFonts w:hint="eastAsia"/>
        </w:rPr>
        <w:t>二、辅导员工作要求</w:t>
      </w:r>
    </w:p>
    <w:p>
      <w:pPr>
        <w:pStyle w:val="7"/>
      </w:pPr>
      <w:r>
        <w:rPr>
          <w:rFonts w:hint="eastAsia"/>
        </w:rPr>
        <w:t>1.爱国守法。热爱祖国，热爱人民，遵守宪法和法律法规，贯彻党的教育方针，依法履行教育职责，维护校园和谐稳定。</w:t>
      </w:r>
    </w:p>
    <w:p>
      <w:pPr>
        <w:pStyle w:val="7"/>
      </w:pPr>
      <w:r>
        <w:rPr>
          <w:rFonts w:hint="eastAsia"/>
        </w:rPr>
        <w:t>2.敬业爱生。热爱党的教育事业，树立崇高职业理想，以献身教育事业、引领学生思想和服务学生成长为己任。真心关爱学生，严格要求学生，公正对待学生。</w:t>
      </w:r>
    </w:p>
    <w:p>
      <w:pPr>
        <w:pStyle w:val="7"/>
      </w:pPr>
      <w:r>
        <w:rPr>
          <w:rFonts w:hint="eastAsia"/>
        </w:rPr>
        <w:t>3.育人为本。把握思想政治教育规律和大学生成长规律，引导学生培育和践行社会主义核心价值观。增强学生社会责任感、创新精神和实践能力。</w:t>
      </w:r>
    </w:p>
    <w:p>
      <w:pPr>
        <w:pStyle w:val="7"/>
      </w:pPr>
      <w:r>
        <w:rPr>
          <w:rFonts w:hint="eastAsia"/>
        </w:rPr>
        <w:t>4.终身学习。坚持终身学习，勇于开拓创新，主动学习思想政治教育理论、方法及相关学科知识，积极开展理论研究和实践探索，努力提高职业素养和职业能力。</w:t>
      </w:r>
    </w:p>
    <w:p>
      <w:pPr>
        <w:pStyle w:val="7"/>
      </w:pPr>
      <w:r>
        <w:rPr>
          <w:rFonts w:hint="eastAsia"/>
        </w:rPr>
        <w:t>5.为人师表。学为人师，行为世范。模范遵守社会公德，引领社会风尚，以高尚品行和人格魅力教育感染学生。</w:t>
      </w:r>
    </w:p>
    <w:p>
      <w:pPr>
        <w:pStyle w:val="7"/>
      </w:pPr>
      <w:r>
        <w:rPr>
          <w:rFonts w:hint="eastAsia"/>
        </w:rPr>
        <w:t>6.投身通识。各级辅导员应积极承担通识课程教学任务，担任学生组织开展的各类活动的辅导教师（指导教师）。</w:t>
      </w:r>
    </w:p>
    <w:p>
      <w:pPr>
        <w:pStyle w:val="7"/>
      </w:pPr>
      <w:r>
        <w:rPr>
          <w:rFonts w:hint="eastAsia"/>
        </w:rPr>
        <w:t>7.双院沟通。各级辅导员应积极落实双院互访计划，推动双院沟通顺利进行。</w:t>
      </w:r>
    </w:p>
    <w:p>
      <w:pPr>
        <w:pStyle w:val="9"/>
      </w:pPr>
      <w:r>
        <w:rPr>
          <w:rFonts w:hint="eastAsia"/>
        </w:rPr>
        <w:t>附件2</w:t>
      </w:r>
    </w:p>
    <w:p>
      <w:pPr>
        <w:snapToGrid w:val="0"/>
        <w:spacing w:line="360" w:lineRule="auto"/>
        <w:jc w:val="center"/>
        <w:rPr>
          <w:rFonts w:ascii="方正小标宋简体" w:eastAsia="方正小标宋简体"/>
          <w:sz w:val="36"/>
          <w:szCs w:val="36"/>
        </w:rPr>
      </w:pPr>
      <w:r>
        <w:rPr>
          <w:rFonts w:ascii="方正小标宋简体" w:eastAsia="方正小标宋简体"/>
          <w:sz w:val="36"/>
          <w:szCs w:val="36"/>
          <w:u w:val="single"/>
        </w:rPr>
        <w:t xml:space="preserve">    </w:t>
      </w:r>
      <w:r>
        <w:rPr>
          <w:rFonts w:hint="eastAsia" w:ascii="方正小标宋简体" w:eastAsia="方正小标宋简体"/>
          <w:sz w:val="36"/>
          <w:szCs w:val="36"/>
        </w:rPr>
        <w:t>-</w:t>
      </w:r>
      <w:r>
        <w:rPr>
          <w:rFonts w:ascii="方正小标宋简体" w:eastAsia="方正小标宋简体"/>
          <w:sz w:val="36"/>
          <w:szCs w:val="36"/>
          <w:u w:val="single"/>
        </w:rPr>
        <w:t xml:space="preserve">    </w:t>
      </w:r>
      <w:r>
        <w:rPr>
          <w:rFonts w:hint="eastAsia" w:ascii="方正小标宋简体" w:eastAsia="方正小标宋简体"/>
          <w:sz w:val="36"/>
          <w:szCs w:val="36"/>
        </w:rPr>
        <w:t>学年辅导员等级评定申请表</w:t>
      </w:r>
    </w:p>
    <w:tbl>
      <w:tblPr>
        <w:tblStyle w:val="3"/>
        <w:tblW w:w="889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3"/>
        <w:gridCol w:w="436"/>
        <w:gridCol w:w="1800"/>
        <w:gridCol w:w="807"/>
        <w:gridCol w:w="1559"/>
        <w:gridCol w:w="1098"/>
        <w:gridCol w:w="2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1" w:hRule="atLeast"/>
          <w:jc w:val="center"/>
        </w:trPr>
        <w:tc>
          <w:tcPr>
            <w:tcW w:w="893" w:type="dxa"/>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姓名</w:t>
            </w:r>
          </w:p>
        </w:tc>
        <w:tc>
          <w:tcPr>
            <w:tcW w:w="2236" w:type="dxa"/>
            <w:gridSpan w:val="2"/>
            <w:vAlign w:val="center"/>
          </w:tcPr>
          <w:p>
            <w:pPr>
              <w:adjustRightInd w:val="0"/>
              <w:snapToGrid w:val="0"/>
              <w:jc w:val="center"/>
              <w:rPr>
                <w:rFonts w:ascii="仿宋_GB2312" w:eastAsia="仿宋_GB2312"/>
                <w:sz w:val="24"/>
              </w:rPr>
            </w:pPr>
            <w:r>
              <w:rPr>
                <w:rFonts w:hint="eastAsia" w:ascii="仿宋_GB2312" w:eastAsia="仿宋_GB2312"/>
                <w:sz w:val="24"/>
              </w:rPr>
              <w:t>XXX</w:t>
            </w:r>
          </w:p>
        </w:tc>
        <w:tc>
          <w:tcPr>
            <w:tcW w:w="807" w:type="dxa"/>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性别</w:t>
            </w:r>
          </w:p>
        </w:tc>
        <w:tc>
          <w:tcPr>
            <w:tcW w:w="1559" w:type="dxa"/>
            <w:vAlign w:val="center"/>
          </w:tcPr>
          <w:p>
            <w:pPr>
              <w:adjustRightInd w:val="0"/>
              <w:snapToGrid w:val="0"/>
              <w:jc w:val="center"/>
              <w:rPr>
                <w:rFonts w:ascii="仿宋_GB2312" w:eastAsia="仿宋_GB2312"/>
                <w:sz w:val="24"/>
              </w:rPr>
            </w:pPr>
            <w:r>
              <w:rPr>
                <w:rFonts w:hint="eastAsia" w:ascii="仿宋_GB2312" w:eastAsia="仿宋_GB2312"/>
                <w:sz w:val="24"/>
              </w:rPr>
              <w:t>X</w:t>
            </w:r>
          </w:p>
        </w:tc>
        <w:tc>
          <w:tcPr>
            <w:tcW w:w="1098" w:type="dxa"/>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书院</w:t>
            </w:r>
          </w:p>
        </w:tc>
        <w:tc>
          <w:tcPr>
            <w:tcW w:w="2304" w:type="dxa"/>
            <w:vAlign w:val="center"/>
          </w:tcPr>
          <w:p>
            <w:pPr>
              <w:adjustRightInd w:val="0"/>
              <w:snapToGrid w:val="0"/>
              <w:jc w:val="center"/>
              <w:rPr>
                <w:rFonts w:ascii="仿宋_GB2312" w:eastAsia="仿宋_GB2312"/>
                <w:sz w:val="24"/>
              </w:rPr>
            </w:pPr>
            <w:r>
              <w:rPr>
                <w:rFonts w:hint="eastAsia" w:ascii="仿宋_GB2312" w:eastAsia="仿宋_GB2312"/>
                <w:sz w:val="24"/>
              </w:rPr>
              <w:t>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93" w:type="dxa"/>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学历</w:t>
            </w:r>
          </w:p>
        </w:tc>
        <w:tc>
          <w:tcPr>
            <w:tcW w:w="2236" w:type="dxa"/>
            <w:gridSpan w:val="2"/>
            <w:vAlign w:val="center"/>
          </w:tcPr>
          <w:p>
            <w:pPr>
              <w:adjustRightInd w:val="0"/>
              <w:snapToGrid w:val="0"/>
              <w:jc w:val="center"/>
              <w:rPr>
                <w:rFonts w:ascii="仿宋_GB2312" w:eastAsia="仿宋_GB2312"/>
                <w:sz w:val="24"/>
              </w:rPr>
            </w:pPr>
            <w:r>
              <w:rPr>
                <w:rFonts w:hint="eastAsia" w:ascii="仿宋_GB2312" w:eastAsia="仿宋_GB2312"/>
                <w:sz w:val="24"/>
              </w:rPr>
              <w:t>最高学历</w:t>
            </w:r>
          </w:p>
        </w:tc>
        <w:tc>
          <w:tcPr>
            <w:tcW w:w="807" w:type="dxa"/>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学位</w:t>
            </w:r>
          </w:p>
        </w:tc>
        <w:tc>
          <w:tcPr>
            <w:tcW w:w="1559" w:type="dxa"/>
            <w:vAlign w:val="center"/>
          </w:tcPr>
          <w:p>
            <w:pPr>
              <w:adjustRightInd w:val="0"/>
              <w:snapToGrid w:val="0"/>
              <w:jc w:val="center"/>
              <w:rPr>
                <w:rFonts w:ascii="仿宋_GB2312" w:eastAsia="仿宋_GB2312"/>
                <w:sz w:val="24"/>
              </w:rPr>
            </w:pPr>
            <w:r>
              <w:rPr>
                <w:rFonts w:hint="eastAsia" w:ascii="仿宋_GB2312" w:eastAsia="仿宋_GB2312"/>
                <w:sz w:val="24"/>
              </w:rPr>
              <w:t>最高学位</w:t>
            </w:r>
          </w:p>
        </w:tc>
        <w:tc>
          <w:tcPr>
            <w:tcW w:w="1098" w:type="dxa"/>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政治</w:t>
            </w:r>
          </w:p>
          <w:p>
            <w:pPr>
              <w:adjustRightInd w:val="0"/>
              <w:snapToGrid w:val="0"/>
              <w:jc w:val="center"/>
              <w:rPr>
                <w:rFonts w:ascii="仿宋_GB2312" w:eastAsia="仿宋_GB2312"/>
                <w:sz w:val="28"/>
                <w:szCs w:val="28"/>
              </w:rPr>
            </w:pPr>
            <w:r>
              <w:rPr>
                <w:rFonts w:hint="eastAsia" w:ascii="仿宋_GB2312" w:eastAsia="仿宋_GB2312"/>
                <w:sz w:val="28"/>
                <w:szCs w:val="28"/>
              </w:rPr>
              <w:t>面貌</w:t>
            </w:r>
          </w:p>
        </w:tc>
        <w:tc>
          <w:tcPr>
            <w:tcW w:w="2304" w:type="dxa"/>
            <w:vAlign w:val="center"/>
          </w:tcPr>
          <w:p>
            <w:pPr>
              <w:adjustRightInd w:val="0"/>
              <w:snapToGrid w:val="0"/>
              <w:jc w:val="center"/>
              <w:rPr>
                <w:rFonts w:ascii="仿宋_GB2312" w:eastAsia="仿宋_GB2312"/>
                <w:sz w:val="24"/>
              </w:rPr>
            </w:pPr>
            <w:r>
              <w:rPr>
                <w:rFonts w:hint="eastAsia" w:ascii="仿宋_GB2312" w:eastAsia="仿宋_GB2312"/>
                <w:sz w:val="24"/>
              </w:rPr>
              <w:t>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9" w:hRule="atLeast"/>
          <w:jc w:val="center"/>
        </w:trPr>
        <w:tc>
          <w:tcPr>
            <w:tcW w:w="893" w:type="dxa"/>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任职年限</w:t>
            </w:r>
          </w:p>
        </w:tc>
        <w:tc>
          <w:tcPr>
            <w:tcW w:w="2236" w:type="dxa"/>
            <w:gridSpan w:val="2"/>
            <w:vAlign w:val="center"/>
          </w:tcPr>
          <w:p>
            <w:pPr>
              <w:adjustRightInd w:val="0"/>
              <w:snapToGrid w:val="0"/>
              <w:jc w:val="center"/>
              <w:rPr>
                <w:rFonts w:ascii="仿宋_GB2312" w:eastAsia="仿宋_GB2312"/>
                <w:sz w:val="24"/>
              </w:rPr>
            </w:pPr>
            <w:r>
              <w:rPr>
                <w:rFonts w:hint="eastAsia" w:ascii="仿宋_GB2312" w:eastAsia="仿宋_GB2312"/>
                <w:sz w:val="24"/>
              </w:rPr>
              <w:t>从事本岗位年限</w:t>
            </w:r>
          </w:p>
          <w:p>
            <w:pPr>
              <w:adjustRightInd w:val="0"/>
              <w:snapToGrid w:val="0"/>
              <w:jc w:val="center"/>
              <w:rPr>
                <w:rFonts w:ascii="仿宋_GB2312" w:eastAsia="仿宋_GB2312"/>
                <w:sz w:val="28"/>
                <w:szCs w:val="28"/>
              </w:rPr>
            </w:pPr>
            <w:r>
              <w:rPr>
                <w:rFonts w:hint="eastAsia" w:ascii="仿宋_GB2312" w:eastAsia="仿宋_GB2312"/>
                <w:sz w:val="24"/>
              </w:rPr>
              <w:t>起止年月</w:t>
            </w:r>
          </w:p>
        </w:tc>
        <w:tc>
          <w:tcPr>
            <w:tcW w:w="2366" w:type="dxa"/>
            <w:gridSpan w:val="2"/>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毕业学校与专业</w:t>
            </w:r>
          </w:p>
        </w:tc>
        <w:tc>
          <w:tcPr>
            <w:tcW w:w="3402" w:type="dxa"/>
            <w:gridSpan w:val="2"/>
            <w:vAlign w:val="center"/>
          </w:tcPr>
          <w:p>
            <w:pPr>
              <w:adjustRightInd w:val="0"/>
              <w:snapToGrid w:val="0"/>
              <w:jc w:val="center"/>
              <w:rPr>
                <w:rFonts w:ascii="仿宋_GB2312" w:eastAsia="仿宋_GB2312"/>
                <w:sz w:val="24"/>
              </w:rPr>
            </w:pPr>
            <w:r>
              <w:rPr>
                <w:rFonts w:hint="eastAsia" w:ascii="仿宋_GB2312" w:eastAsia="仿宋_GB2312"/>
                <w:sz w:val="24"/>
              </w:rPr>
              <w:t>最高学历毕业学校与专业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93" w:type="dxa"/>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现有等级</w:t>
            </w:r>
          </w:p>
        </w:tc>
        <w:tc>
          <w:tcPr>
            <w:tcW w:w="2236" w:type="dxa"/>
            <w:gridSpan w:val="2"/>
            <w:vAlign w:val="center"/>
          </w:tcPr>
          <w:p>
            <w:pPr>
              <w:adjustRightInd w:val="0"/>
              <w:snapToGrid w:val="0"/>
              <w:jc w:val="center"/>
              <w:rPr>
                <w:rFonts w:ascii="仿宋_GB2312" w:eastAsia="仿宋_GB2312"/>
                <w:sz w:val="24"/>
              </w:rPr>
            </w:pPr>
            <w:r>
              <w:rPr>
                <w:rFonts w:hint="eastAsia" w:ascii="仿宋_GB2312" w:eastAsia="仿宋_GB2312"/>
                <w:sz w:val="24"/>
              </w:rPr>
              <w:t>X级</w:t>
            </w:r>
          </w:p>
        </w:tc>
        <w:tc>
          <w:tcPr>
            <w:tcW w:w="807" w:type="dxa"/>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带学生数</w:t>
            </w:r>
          </w:p>
        </w:tc>
        <w:tc>
          <w:tcPr>
            <w:tcW w:w="1559" w:type="dxa"/>
            <w:vAlign w:val="center"/>
          </w:tcPr>
          <w:p>
            <w:pPr>
              <w:adjustRightInd w:val="0"/>
              <w:snapToGrid w:val="0"/>
              <w:jc w:val="center"/>
              <w:rPr>
                <w:rFonts w:ascii="仿宋_GB2312" w:eastAsia="仿宋_GB2312"/>
                <w:sz w:val="24"/>
              </w:rPr>
            </w:pPr>
            <w:r>
              <w:rPr>
                <w:rFonts w:hint="eastAsia" w:ascii="仿宋_GB2312" w:eastAsia="仿宋_GB2312"/>
                <w:sz w:val="24"/>
              </w:rPr>
              <w:t>带学生者</w:t>
            </w:r>
          </w:p>
          <w:p>
            <w:pPr>
              <w:adjustRightInd w:val="0"/>
              <w:snapToGrid w:val="0"/>
              <w:jc w:val="center"/>
              <w:rPr>
                <w:rFonts w:ascii="仿宋_GB2312" w:eastAsia="仿宋_GB2312"/>
                <w:sz w:val="28"/>
                <w:szCs w:val="28"/>
              </w:rPr>
            </w:pPr>
            <w:r>
              <w:rPr>
                <w:rFonts w:hint="eastAsia" w:ascii="仿宋_GB2312" w:eastAsia="仿宋_GB2312"/>
                <w:sz w:val="24"/>
              </w:rPr>
              <w:t>填写</w:t>
            </w:r>
          </w:p>
        </w:tc>
        <w:tc>
          <w:tcPr>
            <w:tcW w:w="1098" w:type="dxa"/>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拟申请</w:t>
            </w:r>
          </w:p>
          <w:p>
            <w:pPr>
              <w:adjustRightInd w:val="0"/>
              <w:snapToGrid w:val="0"/>
              <w:jc w:val="center"/>
              <w:rPr>
                <w:rFonts w:ascii="仿宋_GB2312" w:eastAsia="仿宋_GB2312"/>
                <w:sz w:val="28"/>
                <w:szCs w:val="28"/>
              </w:rPr>
            </w:pPr>
            <w:r>
              <w:rPr>
                <w:rFonts w:hint="eastAsia" w:ascii="仿宋_GB2312" w:eastAsia="仿宋_GB2312"/>
                <w:sz w:val="28"/>
                <w:szCs w:val="28"/>
              </w:rPr>
              <w:t>等级</w:t>
            </w:r>
          </w:p>
        </w:tc>
        <w:tc>
          <w:tcPr>
            <w:tcW w:w="2304" w:type="dxa"/>
            <w:vAlign w:val="center"/>
          </w:tcPr>
          <w:p>
            <w:pPr>
              <w:adjustRightInd w:val="0"/>
              <w:snapToGrid w:val="0"/>
              <w:jc w:val="center"/>
              <w:rPr>
                <w:rFonts w:ascii="仿宋_GB2312" w:eastAsia="仿宋_GB2312"/>
                <w:sz w:val="24"/>
              </w:rPr>
            </w:pPr>
            <w:r>
              <w:rPr>
                <w:rFonts w:hint="eastAsia" w:ascii="仿宋_GB2312" w:eastAsia="仿宋_GB2312"/>
                <w:sz w:val="24"/>
              </w:rPr>
              <w:t>X级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6" w:hRule="atLeast"/>
          <w:jc w:val="center"/>
        </w:trPr>
        <w:tc>
          <w:tcPr>
            <w:tcW w:w="3936" w:type="dxa"/>
            <w:gridSpan w:val="4"/>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本学年第一学期标准学时</w:t>
            </w:r>
          </w:p>
        </w:tc>
        <w:tc>
          <w:tcPr>
            <w:tcW w:w="4961" w:type="dxa"/>
            <w:gridSpan w:val="3"/>
            <w:vAlign w:val="center"/>
          </w:tcPr>
          <w:p>
            <w:pPr>
              <w:adjustRightInd w:val="0"/>
              <w:snapToGrid w:val="0"/>
              <w:jc w:val="center"/>
              <w:rPr>
                <w:rFonts w:ascii="仿宋_GB2312" w:eastAsia="仿宋_GB2312"/>
                <w:sz w:val="24"/>
              </w:rPr>
            </w:pPr>
            <w:r>
              <w:rPr>
                <w:rFonts w:hint="eastAsia" w:ascii="仿宋_GB2312" w:eastAsia="仿宋_GB2312"/>
                <w:sz w:val="24"/>
              </w:rPr>
              <w:t>共计xx个标准学时。其中《》课xx个标准学时，《》课xx个标准学时。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3" w:hRule="atLeast"/>
          <w:jc w:val="center"/>
        </w:trPr>
        <w:tc>
          <w:tcPr>
            <w:tcW w:w="3936" w:type="dxa"/>
            <w:gridSpan w:val="4"/>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本学年第二学期标准学时</w:t>
            </w:r>
          </w:p>
        </w:tc>
        <w:tc>
          <w:tcPr>
            <w:tcW w:w="4961" w:type="dxa"/>
            <w:gridSpan w:val="3"/>
            <w:vAlign w:val="center"/>
          </w:tcPr>
          <w:p>
            <w:pPr>
              <w:adjustRightInd w:val="0"/>
              <w:snapToGrid w:val="0"/>
              <w:jc w:val="center"/>
              <w:rPr>
                <w:rFonts w:ascii="仿宋_GB2312" w:eastAsia="仿宋_GB2312"/>
                <w:sz w:val="24"/>
              </w:rPr>
            </w:pPr>
            <w:r>
              <w:rPr>
                <w:rFonts w:hint="eastAsia" w:ascii="仿宋_GB2312" w:eastAsia="仿宋_GB2312"/>
                <w:sz w:val="24"/>
              </w:rPr>
              <w:t>共计xx个标准学时。其中《》课xx个标准学时，《》课xx个标准学时。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897" w:type="dxa"/>
            <w:gridSpan w:val="7"/>
            <w:vAlign w:val="center"/>
          </w:tcPr>
          <w:p>
            <w:pPr>
              <w:jc w:val="center"/>
              <w:rPr>
                <w:rFonts w:ascii="仿宋_GB2312" w:eastAsia="仿宋_GB2312"/>
                <w:w w:val="95"/>
                <w:sz w:val="28"/>
                <w:szCs w:val="28"/>
              </w:rPr>
            </w:pPr>
            <w:r>
              <w:rPr>
                <w:rFonts w:hint="eastAsia" w:ascii="仿宋_GB2312" w:eastAsia="仿宋_GB2312"/>
                <w:w w:val="95"/>
                <w:sz w:val="28"/>
                <w:szCs w:val="28"/>
              </w:rPr>
              <w:t>以下内容需提供原件及复印件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29" w:type="dxa"/>
            <w:gridSpan w:val="2"/>
            <w:vAlign w:val="center"/>
          </w:tcPr>
          <w:p>
            <w:pPr>
              <w:jc w:val="center"/>
              <w:rPr>
                <w:rFonts w:ascii="仿宋_GB2312" w:eastAsia="仿宋_GB2312"/>
                <w:sz w:val="28"/>
                <w:szCs w:val="28"/>
              </w:rPr>
            </w:pPr>
            <w:r>
              <w:rPr>
                <w:rFonts w:hint="eastAsia" w:ascii="仿宋_GB2312" w:eastAsia="仿宋_GB2312"/>
                <w:sz w:val="28"/>
                <w:szCs w:val="28"/>
              </w:rPr>
              <w:t>拟</w:t>
            </w:r>
          </w:p>
          <w:p>
            <w:pPr>
              <w:jc w:val="center"/>
              <w:rPr>
                <w:rFonts w:ascii="仿宋_GB2312" w:eastAsia="仿宋_GB2312"/>
                <w:sz w:val="28"/>
                <w:szCs w:val="28"/>
              </w:rPr>
            </w:pPr>
            <w:r>
              <w:rPr>
                <w:rFonts w:hint="eastAsia" w:ascii="仿宋_GB2312" w:eastAsia="仿宋_GB2312"/>
                <w:sz w:val="28"/>
                <w:szCs w:val="28"/>
              </w:rPr>
              <w:t>申</w:t>
            </w:r>
          </w:p>
          <w:p>
            <w:pPr>
              <w:jc w:val="center"/>
              <w:rPr>
                <w:rFonts w:ascii="仿宋_GB2312" w:eastAsia="仿宋_GB2312"/>
                <w:sz w:val="28"/>
                <w:szCs w:val="28"/>
              </w:rPr>
            </w:pPr>
            <w:r>
              <w:rPr>
                <w:rFonts w:hint="eastAsia" w:ascii="仿宋_GB2312" w:eastAsia="仿宋_GB2312"/>
                <w:sz w:val="28"/>
                <w:szCs w:val="28"/>
              </w:rPr>
              <w:t>请</w:t>
            </w:r>
          </w:p>
          <w:p>
            <w:pPr>
              <w:jc w:val="center"/>
              <w:rPr>
                <w:rFonts w:ascii="仿宋_GB2312" w:eastAsia="仿宋_GB2312"/>
                <w:sz w:val="28"/>
                <w:szCs w:val="28"/>
              </w:rPr>
            </w:pPr>
            <w:r>
              <w:rPr>
                <w:rFonts w:hint="eastAsia" w:ascii="仿宋_GB2312" w:eastAsia="仿宋_GB2312"/>
                <w:sz w:val="28"/>
                <w:szCs w:val="28"/>
              </w:rPr>
              <w:t>等</w:t>
            </w:r>
          </w:p>
          <w:p>
            <w:pPr>
              <w:jc w:val="center"/>
              <w:rPr>
                <w:rFonts w:ascii="仿宋_GB2312" w:eastAsia="仿宋_GB2312"/>
                <w:sz w:val="28"/>
                <w:szCs w:val="28"/>
              </w:rPr>
            </w:pPr>
            <w:r>
              <w:rPr>
                <w:rFonts w:hint="eastAsia" w:ascii="仿宋_GB2312" w:eastAsia="仿宋_GB2312"/>
                <w:sz w:val="28"/>
                <w:szCs w:val="28"/>
              </w:rPr>
              <w:t>级</w:t>
            </w:r>
          </w:p>
          <w:p>
            <w:pPr>
              <w:jc w:val="center"/>
              <w:rPr>
                <w:rFonts w:ascii="仿宋_GB2312" w:eastAsia="仿宋_GB2312"/>
                <w:sz w:val="28"/>
                <w:szCs w:val="28"/>
              </w:rPr>
            </w:pPr>
            <w:r>
              <w:rPr>
                <w:rFonts w:hint="eastAsia" w:ascii="仿宋_GB2312" w:eastAsia="仿宋_GB2312"/>
                <w:sz w:val="28"/>
                <w:szCs w:val="28"/>
              </w:rPr>
              <w:t>条</w:t>
            </w:r>
          </w:p>
          <w:p>
            <w:pPr>
              <w:jc w:val="center"/>
              <w:rPr>
                <w:rFonts w:ascii="仿宋_GB2312" w:eastAsia="仿宋_GB2312"/>
                <w:sz w:val="28"/>
                <w:szCs w:val="28"/>
              </w:rPr>
            </w:pPr>
            <w:r>
              <w:rPr>
                <w:rFonts w:hint="eastAsia" w:ascii="仿宋_GB2312" w:eastAsia="仿宋_GB2312"/>
                <w:sz w:val="28"/>
                <w:szCs w:val="28"/>
              </w:rPr>
              <w:t>件</w:t>
            </w:r>
          </w:p>
        </w:tc>
        <w:tc>
          <w:tcPr>
            <w:tcW w:w="7568" w:type="dxa"/>
            <w:gridSpan w:val="5"/>
            <w:vAlign w:val="bottom"/>
          </w:tcPr>
          <w:p>
            <w:pPr>
              <w:snapToGrid w:val="0"/>
              <w:ind w:right="34" w:rightChars="16"/>
              <w:jc w:val="left"/>
              <w:rPr>
                <w:rFonts w:ascii="仿宋_GB2312" w:eastAsia="仿宋_GB2312"/>
                <w:sz w:val="24"/>
              </w:rPr>
            </w:pPr>
          </w:p>
          <w:p>
            <w:pPr>
              <w:snapToGrid w:val="0"/>
              <w:ind w:right="34" w:rightChars="16"/>
              <w:jc w:val="left"/>
              <w:rPr>
                <w:rFonts w:ascii="仿宋_GB2312" w:eastAsia="仿宋_GB2312"/>
                <w:sz w:val="24"/>
              </w:rPr>
            </w:pPr>
          </w:p>
          <w:p>
            <w:pPr>
              <w:snapToGrid w:val="0"/>
              <w:ind w:right="34" w:rightChars="16"/>
              <w:jc w:val="left"/>
              <w:rPr>
                <w:rFonts w:ascii="仿宋_GB2312" w:eastAsia="仿宋_GB2312"/>
                <w:sz w:val="24"/>
              </w:rPr>
            </w:pPr>
            <w:r>
              <w:rPr>
                <w:rFonts w:hint="eastAsia" w:ascii="仿宋_GB2312" w:eastAsia="仿宋_GB2312"/>
                <w:sz w:val="24"/>
              </w:rPr>
              <w:t>必备条件：</w:t>
            </w:r>
          </w:p>
          <w:p>
            <w:pPr>
              <w:snapToGrid w:val="0"/>
              <w:ind w:right="34" w:rightChars="16"/>
              <w:jc w:val="left"/>
              <w:rPr>
                <w:rFonts w:ascii="仿宋_GB2312" w:eastAsia="仿宋_GB2312"/>
                <w:sz w:val="24"/>
              </w:rPr>
            </w:pPr>
          </w:p>
          <w:p>
            <w:pPr>
              <w:snapToGrid w:val="0"/>
              <w:ind w:right="34" w:rightChars="16"/>
              <w:jc w:val="left"/>
              <w:rPr>
                <w:rFonts w:ascii="仿宋_GB2312" w:eastAsia="仿宋_GB2312"/>
                <w:sz w:val="24"/>
              </w:rPr>
            </w:pPr>
          </w:p>
          <w:p>
            <w:pPr>
              <w:snapToGrid w:val="0"/>
              <w:ind w:right="34" w:rightChars="16"/>
              <w:jc w:val="left"/>
              <w:rPr>
                <w:rFonts w:ascii="仿宋_GB2312" w:eastAsia="仿宋_GB2312"/>
                <w:sz w:val="24"/>
              </w:rPr>
            </w:pPr>
          </w:p>
          <w:p>
            <w:pPr>
              <w:snapToGrid w:val="0"/>
              <w:ind w:right="34" w:rightChars="16"/>
              <w:jc w:val="left"/>
              <w:rPr>
                <w:rFonts w:ascii="仿宋_GB2312" w:eastAsia="仿宋_GB2312"/>
                <w:sz w:val="24"/>
              </w:rPr>
            </w:pPr>
          </w:p>
          <w:p>
            <w:pPr>
              <w:snapToGrid w:val="0"/>
              <w:ind w:right="34" w:rightChars="16"/>
              <w:jc w:val="left"/>
              <w:rPr>
                <w:rFonts w:ascii="仿宋_GB2312" w:eastAsia="仿宋_GB2312"/>
                <w:sz w:val="24"/>
              </w:rPr>
            </w:pPr>
            <w:r>
              <w:rPr>
                <w:rFonts w:hint="eastAsia" w:ascii="仿宋_GB2312" w:eastAsia="仿宋_GB2312"/>
                <w:sz w:val="24"/>
              </w:rPr>
              <w:t>可选条件：</w:t>
            </w:r>
          </w:p>
          <w:p>
            <w:pPr>
              <w:snapToGrid w:val="0"/>
              <w:ind w:right="34" w:rightChars="16"/>
              <w:jc w:val="left"/>
              <w:rPr>
                <w:rFonts w:ascii="仿宋_GB2312" w:eastAsia="仿宋_GB2312"/>
                <w:sz w:val="24"/>
              </w:rPr>
            </w:pPr>
          </w:p>
          <w:p>
            <w:pPr>
              <w:snapToGrid w:val="0"/>
              <w:ind w:right="34" w:rightChars="16"/>
              <w:jc w:val="left"/>
              <w:rPr>
                <w:rFonts w:ascii="仿宋_GB2312" w:eastAsia="仿宋_GB2312"/>
                <w:sz w:val="24"/>
              </w:rPr>
            </w:pPr>
          </w:p>
          <w:p>
            <w:pPr>
              <w:snapToGrid w:val="0"/>
              <w:ind w:right="34" w:rightChars="16"/>
              <w:jc w:val="left"/>
              <w:rPr>
                <w:rFonts w:ascii="仿宋_GB2312" w:eastAsia="仿宋_GB2312"/>
                <w:sz w:val="24"/>
              </w:rPr>
            </w:pPr>
          </w:p>
          <w:p>
            <w:pPr>
              <w:snapToGrid w:val="0"/>
              <w:ind w:right="34" w:rightChars="16"/>
              <w:jc w:val="left"/>
              <w:rPr>
                <w:rFonts w:ascii="仿宋_GB2312" w:eastAsia="仿宋_GB2312"/>
                <w:sz w:val="24"/>
              </w:rPr>
            </w:pPr>
          </w:p>
          <w:p>
            <w:pPr>
              <w:snapToGrid w:val="0"/>
              <w:ind w:right="34" w:rightChars="16"/>
              <w:jc w:val="left"/>
              <w:rPr>
                <w:rFonts w:ascii="仿宋_GB2312" w:eastAsia="仿宋_GB2312"/>
                <w:sz w:val="24"/>
              </w:rPr>
            </w:pPr>
            <w:r>
              <w:rPr>
                <w:rFonts w:hint="eastAsia" w:ascii="仿宋_GB2312" w:eastAsia="仿宋_GB2312"/>
                <w:sz w:val="24"/>
              </w:rPr>
              <w:t>破格条件：</w:t>
            </w:r>
          </w:p>
          <w:p>
            <w:pPr>
              <w:snapToGrid w:val="0"/>
              <w:ind w:right="34" w:rightChars="16"/>
              <w:jc w:val="left"/>
              <w:rPr>
                <w:rFonts w:ascii="仿宋_GB2312" w:eastAsia="仿宋_GB2312"/>
                <w:sz w:val="24"/>
              </w:rPr>
            </w:pPr>
          </w:p>
          <w:p>
            <w:pPr>
              <w:snapToGrid w:val="0"/>
              <w:ind w:right="34" w:rightChars="16"/>
              <w:jc w:val="left"/>
              <w:rPr>
                <w:rFonts w:ascii="仿宋_GB2312" w:eastAsia="仿宋_GB2312"/>
                <w:sz w:val="24"/>
              </w:rPr>
            </w:pPr>
          </w:p>
          <w:p>
            <w:pPr>
              <w:snapToGrid w:val="0"/>
              <w:ind w:right="34" w:rightChars="16"/>
              <w:jc w:val="left"/>
              <w:rPr>
                <w:rFonts w:ascii="仿宋_GB2312" w:eastAsia="仿宋_GB2312"/>
                <w:sz w:val="24"/>
              </w:rPr>
            </w:pPr>
          </w:p>
          <w:p>
            <w:pPr>
              <w:snapToGrid w:val="0"/>
              <w:ind w:right="34" w:rightChars="16"/>
              <w:jc w:val="left"/>
              <w:rPr>
                <w:rFonts w:ascii="仿宋_GB2312" w:eastAsia="仿宋_GB2312"/>
                <w:sz w:val="24"/>
              </w:rPr>
            </w:pPr>
          </w:p>
          <w:p>
            <w:pPr>
              <w:snapToGrid w:val="0"/>
              <w:ind w:right="34" w:rightChars="16"/>
              <w:jc w:val="left"/>
              <w:rPr>
                <w:rFonts w:ascii="仿宋_GB2312" w:eastAsia="仿宋_GB2312"/>
                <w:sz w:val="28"/>
              </w:rPr>
            </w:pPr>
            <w:r>
              <w:rPr>
                <w:rFonts w:hint="eastAsia" w:ascii="仿宋_GB2312" w:eastAsia="仿宋_GB2312"/>
                <w:sz w:val="28"/>
              </w:rPr>
              <w:t>我承诺以上填写内容均属事实，并提供相关证明材料附后。</w:t>
            </w:r>
          </w:p>
          <w:p>
            <w:pPr>
              <w:wordWrap w:val="0"/>
              <w:snapToGrid w:val="0"/>
              <w:ind w:right="34" w:rightChars="16"/>
              <w:jc w:val="right"/>
              <w:rPr>
                <w:rFonts w:ascii="仿宋_GB2312" w:eastAsia="仿宋_GB2312"/>
                <w:sz w:val="28"/>
              </w:rPr>
            </w:pPr>
            <w:r>
              <w:rPr>
                <w:rFonts w:hint="eastAsia" w:ascii="仿宋_GB2312" w:eastAsia="仿宋_GB2312"/>
                <w:sz w:val="28"/>
              </w:rPr>
              <w:t>个人签字：  （手写）            年  月  日</w:t>
            </w:r>
          </w:p>
          <w:p>
            <w:pPr>
              <w:snapToGrid w:val="0"/>
              <w:ind w:right="34" w:rightChars="16"/>
              <w:jc w:val="right"/>
              <w:rPr>
                <w:rFonts w:ascii="仿宋_GB2312" w:eastAsia="仿宋_GB2312"/>
                <w:sz w:val="24"/>
              </w:rPr>
            </w:pPr>
          </w:p>
          <w:p>
            <w:pPr>
              <w:snapToGrid w:val="0"/>
              <w:ind w:right="34" w:rightChars="16"/>
              <w:jc w:val="right"/>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26" w:hRule="atLeast"/>
          <w:jc w:val="center"/>
        </w:trPr>
        <w:tc>
          <w:tcPr>
            <w:tcW w:w="1329" w:type="dxa"/>
            <w:gridSpan w:val="2"/>
            <w:vAlign w:val="center"/>
          </w:tcPr>
          <w:p>
            <w:pPr>
              <w:jc w:val="center"/>
              <w:rPr>
                <w:rFonts w:ascii="仿宋_GB2312" w:eastAsia="仿宋_GB2312"/>
                <w:sz w:val="28"/>
                <w:szCs w:val="28"/>
              </w:rPr>
            </w:pPr>
            <w:r>
              <w:rPr>
                <w:rFonts w:hint="eastAsia" w:ascii="仿宋_GB2312" w:eastAsia="仿宋_GB2312"/>
                <w:sz w:val="28"/>
                <w:szCs w:val="28"/>
              </w:rPr>
              <w:t>评定委员会复核意见</w:t>
            </w:r>
          </w:p>
        </w:tc>
        <w:tc>
          <w:tcPr>
            <w:tcW w:w="7568" w:type="dxa"/>
            <w:gridSpan w:val="5"/>
            <w:vAlign w:val="bottom"/>
          </w:tcPr>
          <w:p>
            <w:pPr>
              <w:jc w:val="left"/>
              <w:rPr>
                <w:rFonts w:ascii="仿宋_GB2312" w:eastAsia="仿宋_GB2312"/>
                <w:sz w:val="28"/>
                <w:szCs w:val="28"/>
              </w:rPr>
            </w:pPr>
          </w:p>
          <w:p>
            <w:pPr>
              <w:jc w:val="left"/>
              <w:rPr>
                <w:rFonts w:ascii="仿宋_GB2312" w:eastAsia="仿宋_GB2312"/>
                <w:sz w:val="28"/>
                <w:szCs w:val="28"/>
              </w:rPr>
            </w:pPr>
          </w:p>
          <w:p>
            <w:pPr>
              <w:jc w:val="left"/>
              <w:rPr>
                <w:rFonts w:ascii="仿宋_GB2312" w:eastAsia="仿宋_GB2312"/>
                <w:sz w:val="28"/>
                <w:szCs w:val="28"/>
              </w:rPr>
            </w:pPr>
          </w:p>
          <w:p>
            <w:pPr>
              <w:adjustRightInd w:val="0"/>
              <w:snapToGrid w:val="0"/>
              <w:spacing w:line="360" w:lineRule="auto"/>
              <w:jc w:val="left"/>
              <w:rPr>
                <w:rFonts w:ascii="仿宋_GB2312" w:eastAsia="仿宋_GB2312"/>
                <w:sz w:val="24"/>
                <w:szCs w:val="28"/>
              </w:rPr>
            </w:pPr>
            <w:r>
              <w:rPr>
                <w:rFonts w:hint="eastAsia" w:ascii="仿宋_GB2312" w:eastAsia="仿宋_GB2312"/>
                <w:sz w:val="28"/>
                <w:szCs w:val="28"/>
              </w:rPr>
              <w:t xml:space="preserve">   </w:t>
            </w:r>
            <w:r>
              <w:rPr>
                <w:rFonts w:hint="eastAsia" w:ascii="仿宋_GB2312" w:eastAsia="仿宋_GB2312"/>
                <w:sz w:val="24"/>
                <w:szCs w:val="28"/>
              </w:rPr>
              <w:t xml:space="preserve"> 依据《新乡医学院三全学院辅导员等级化管理办法》第X条第X款， XX同志职业等级应该认定为X级。</w:t>
            </w:r>
          </w:p>
          <w:p>
            <w:pPr>
              <w:jc w:val="right"/>
              <w:rPr>
                <w:rFonts w:ascii="仿宋_GB2312" w:eastAsia="仿宋_GB2312"/>
                <w:sz w:val="28"/>
                <w:szCs w:val="28"/>
              </w:rPr>
            </w:pPr>
          </w:p>
          <w:p>
            <w:pPr>
              <w:jc w:val="right"/>
              <w:rPr>
                <w:rFonts w:ascii="仿宋_GB2312" w:eastAsia="仿宋_GB2312"/>
                <w:sz w:val="28"/>
                <w:szCs w:val="28"/>
              </w:rPr>
            </w:pPr>
          </w:p>
          <w:p>
            <w:pPr>
              <w:jc w:val="right"/>
              <w:rPr>
                <w:rFonts w:ascii="仿宋_GB2312" w:eastAsia="仿宋_GB2312"/>
                <w:sz w:val="28"/>
                <w:szCs w:val="28"/>
              </w:rPr>
            </w:pPr>
          </w:p>
          <w:p>
            <w:pPr>
              <w:jc w:val="right"/>
              <w:rPr>
                <w:rFonts w:ascii="仿宋_GB2312" w:eastAsia="仿宋_GB2312"/>
                <w:sz w:val="28"/>
                <w:szCs w:val="28"/>
              </w:rPr>
            </w:pPr>
          </w:p>
          <w:p>
            <w:pPr>
              <w:ind w:right="560"/>
              <w:rPr>
                <w:rFonts w:ascii="仿宋_GB2312" w:eastAsia="仿宋_GB2312"/>
                <w:sz w:val="28"/>
                <w:szCs w:val="28"/>
              </w:rPr>
            </w:pPr>
          </w:p>
          <w:p>
            <w:pPr>
              <w:rPr>
                <w:rFonts w:ascii="仿宋_GB2312" w:eastAsia="仿宋_GB2312"/>
                <w:sz w:val="28"/>
                <w:szCs w:val="28"/>
              </w:rPr>
            </w:pPr>
          </w:p>
          <w:p>
            <w:pPr>
              <w:jc w:val="right"/>
              <w:rPr>
                <w:rFonts w:ascii="仿宋_GB2312" w:eastAsia="仿宋_GB2312"/>
                <w:sz w:val="28"/>
                <w:szCs w:val="28"/>
              </w:rPr>
            </w:pPr>
            <w:r>
              <w:rPr>
                <w:rFonts w:hint="eastAsia" w:ascii="仿宋_GB2312" w:eastAsia="仿宋_GB2312"/>
                <w:sz w:val="28"/>
                <w:szCs w:val="28"/>
              </w:rPr>
              <w:t>认定小组签字              年  月  日</w:t>
            </w:r>
          </w:p>
          <w:p>
            <w:pPr>
              <w:jc w:val="right"/>
              <w:rPr>
                <w:rFonts w:ascii="仿宋_GB2312" w:eastAsia="仿宋_GB2312"/>
                <w:sz w:val="28"/>
                <w:szCs w:val="28"/>
              </w:rPr>
            </w:pPr>
          </w:p>
          <w:p>
            <w:pPr>
              <w:jc w:val="right"/>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07" w:hRule="atLeast"/>
          <w:jc w:val="center"/>
        </w:trPr>
        <w:tc>
          <w:tcPr>
            <w:tcW w:w="1329" w:type="dxa"/>
            <w:gridSpan w:val="2"/>
            <w:vAlign w:val="center"/>
          </w:tcPr>
          <w:p>
            <w:pPr>
              <w:jc w:val="center"/>
              <w:rPr>
                <w:rFonts w:ascii="仿宋_GB2312" w:eastAsia="仿宋_GB2312"/>
                <w:sz w:val="28"/>
                <w:szCs w:val="28"/>
              </w:rPr>
            </w:pPr>
            <w:r>
              <w:rPr>
                <w:rFonts w:hint="eastAsia" w:ascii="仿宋_GB2312" w:eastAsia="仿宋_GB2312"/>
                <w:sz w:val="28"/>
                <w:szCs w:val="28"/>
              </w:rPr>
              <w:t>评定</w:t>
            </w:r>
          </w:p>
          <w:p>
            <w:pPr>
              <w:jc w:val="center"/>
              <w:rPr>
                <w:rFonts w:ascii="仿宋_GB2312" w:eastAsia="仿宋_GB2312"/>
                <w:sz w:val="28"/>
                <w:szCs w:val="28"/>
              </w:rPr>
            </w:pPr>
            <w:r>
              <w:rPr>
                <w:rFonts w:hint="eastAsia" w:ascii="仿宋_GB2312" w:eastAsia="仿宋_GB2312"/>
                <w:sz w:val="28"/>
                <w:szCs w:val="28"/>
              </w:rPr>
              <w:t>结果</w:t>
            </w:r>
          </w:p>
        </w:tc>
        <w:tc>
          <w:tcPr>
            <w:tcW w:w="7568" w:type="dxa"/>
            <w:gridSpan w:val="5"/>
            <w:vAlign w:val="center"/>
          </w:tcPr>
          <w:p>
            <w:pPr>
              <w:snapToGrid w:val="0"/>
              <w:ind w:right="34" w:rightChars="16"/>
              <w:jc w:val="left"/>
              <w:rPr>
                <w:rFonts w:ascii="仿宋_GB2312" w:eastAsia="仿宋_GB2312"/>
                <w:sz w:val="28"/>
                <w:szCs w:val="28"/>
              </w:rPr>
            </w:pPr>
          </w:p>
          <w:p>
            <w:pPr>
              <w:snapToGrid w:val="0"/>
              <w:ind w:right="34" w:rightChars="16"/>
              <w:jc w:val="left"/>
              <w:rPr>
                <w:rFonts w:ascii="仿宋_GB2312" w:eastAsia="仿宋_GB2312"/>
                <w:sz w:val="28"/>
                <w:szCs w:val="28"/>
              </w:rPr>
            </w:pPr>
          </w:p>
          <w:p>
            <w:pPr>
              <w:snapToGrid w:val="0"/>
              <w:ind w:right="34" w:rightChars="16"/>
              <w:jc w:val="left"/>
              <w:rPr>
                <w:rFonts w:ascii="仿宋_GB2312" w:eastAsia="仿宋_GB2312"/>
                <w:sz w:val="28"/>
                <w:szCs w:val="28"/>
              </w:rPr>
            </w:pPr>
          </w:p>
          <w:p>
            <w:pPr>
              <w:snapToGrid w:val="0"/>
              <w:ind w:right="34" w:rightChars="16"/>
              <w:jc w:val="left"/>
              <w:rPr>
                <w:rFonts w:ascii="仿宋_GB2312" w:eastAsia="仿宋_GB2312"/>
                <w:sz w:val="24"/>
                <w:szCs w:val="28"/>
              </w:rPr>
            </w:pPr>
            <w:r>
              <w:rPr>
                <w:rFonts w:hint="eastAsia" w:ascii="仿宋_GB2312" w:eastAsia="仿宋_GB2312"/>
                <w:sz w:val="28"/>
                <w:szCs w:val="28"/>
              </w:rPr>
              <w:t xml:space="preserve">    </w:t>
            </w:r>
            <w:r>
              <w:rPr>
                <w:rFonts w:hint="eastAsia" w:ascii="仿宋_GB2312" w:eastAsia="仿宋_GB2312"/>
                <w:sz w:val="24"/>
                <w:szCs w:val="28"/>
              </w:rPr>
              <w:t>经研究决定，认定XX同志等级为X级。</w:t>
            </w:r>
          </w:p>
          <w:p>
            <w:pPr>
              <w:snapToGrid w:val="0"/>
              <w:ind w:right="34" w:rightChars="16"/>
              <w:jc w:val="left"/>
              <w:rPr>
                <w:rFonts w:ascii="仿宋_GB2312" w:eastAsia="仿宋_GB2312"/>
                <w:sz w:val="28"/>
                <w:szCs w:val="28"/>
              </w:rPr>
            </w:pPr>
          </w:p>
          <w:p>
            <w:pPr>
              <w:snapToGrid w:val="0"/>
              <w:ind w:right="34" w:rightChars="16"/>
              <w:jc w:val="left"/>
              <w:rPr>
                <w:rFonts w:ascii="仿宋_GB2312" w:eastAsia="仿宋_GB2312"/>
                <w:sz w:val="28"/>
                <w:szCs w:val="28"/>
              </w:rPr>
            </w:pPr>
          </w:p>
          <w:p>
            <w:pPr>
              <w:snapToGrid w:val="0"/>
              <w:ind w:right="34" w:rightChars="16"/>
              <w:jc w:val="left"/>
              <w:rPr>
                <w:rFonts w:ascii="仿宋_GB2312" w:eastAsia="仿宋_GB2312"/>
                <w:sz w:val="28"/>
                <w:szCs w:val="28"/>
              </w:rPr>
            </w:pPr>
          </w:p>
          <w:p>
            <w:pPr>
              <w:snapToGrid w:val="0"/>
              <w:ind w:right="34" w:rightChars="16"/>
              <w:jc w:val="left"/>
              <w:rPr>
                <w:rFonts w:ascii="仿宋_GB2312" w:eastAsia="仿宋_GB2312"/>
                <w:sz w:val="28"/>
                <w:szCs w:val="28"/>
              </w:rPr>
            </w:pPr>
          </w:p>
          <w:p>
            <w:pPr>
              <w:jc w:val="center"/>
              <w:rPr>
                <w:rFonts w:ascii="仿宋_GB2312" w:eastAsia="仿宋_GB2312"/>
                <w:sz w:val="28"/>
                <w:szCs w:val="28"/>
              </w:rPr>
            </w:pPr>
            <w:r>
              <w:rPr>
                <w:rFonts w:hint="eastAsia" w:ascii="仿宋_GB2312" w:eastAsia="仿宋_GB2312"/>
                <w:sz w:val="28"/>
                <w:szCs w:val="28"/>
              </w:rPr>
              <w:t>辅导员等级认定工作小组组长签字：          年  月  日</w:t>
            </w:r>
          </w:p>
          <w:p>
            <w:pPr>
              <w:rPr>
                <w:rFonts w:ascii="仿宋_GB2312" w:eastAsia="仿宋_GB2312"/>
                <w:sz w:val="28"/>
                <w:szCs w:val="28"/>
              </w:rPr>
            </w:pPr>
          </w:p>
        </w:tc>
      </w:tr>
    </w:tbl>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6" w:usb3="00000000" w:csb0="00060007"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8CC"/>
    <w:rsid w:val="001B71B6"/>
    <w:rsid w:val="004A48CC"/>
    <w:rsid w:val="007C2F20"/>
    <w:rsid w:val="00D2596F"/>
    <w:rsid w:val="00DF213A"/>
    <w:rsid w:val="7B613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customStyle="1" w:styleId="4">
    <w:name w:val="汇编标题1"/>
    <w:basedOn w:val="1"/>
    <w:qFormat/>
    <w:uiPriority w:val="0"/>
    <w:pPr>
      <w:snapToGrid w:val="0"/>
      <w:jc w:val="center"/>
      <w:outlineLvl w:val="0"/>
    </w:pPr>
    <w:rPr>
      <w:rFonts w:ascii="方正小标宋_GBK" w:hAnsi="仿宋_GB2312" w:eastAsia="方正小标宋_GBK" w:cs="仿宋_GB2312"/>
      <w:sz w:val="44"/>
      <w:szCs w:val="44"/>
    </w:rPr>
  </w:style>
  <w:style w:type="paragraph" w:customStyle="1" w:styleId="5">
    <w:name w:val="〔年号〕"/>
    <w:basedOn w:val="1"/>
    <w:qFormat/>
    <w:uiPriority w:val="0"/>
    <w:pPr>
      <w:adjustRightInd w:val="0"/>
      <w:snapToGrid w:val="0"/>
      <w:spacing w:before="100" w:beforeLines="100" w:after="100" w:afterLines="100"/>
      <w:jc w:val="center"/>
    </w:pPr>
    <w:rPr>
      <w:rFonts w:ascii="仿宋_GB2312" w:eastAsia="仿宋_GB2312" w:cs="仿宋_GB2312"/>
      <w:sz w:val="32"/>
      <w:szCs w:val="32"/>
    </w:rPr>
  </w:style>
  <w:style w:type="paragraph" w:customStyle="1" w:styleId="6">
    <w:name w:val="第一章"/>
    <w:basedOn w:val="1"/>
    <w:qFormat/>
    <w:uiPriority w:val="0"/>
    <w:pPr>
      <w:jc w:val="center"/>
    </w:pPr>
    <w:rPr>
      <w:rFonts w:ascii="方正黑体_GBK" w:hAnsi="黑体" w:eastAsia="方正黑体_GBK" w:cs="黑体"/>
      <w:color w:val="000000"/>
      <w:sz w:val="32"/>
      <w:szCs w:val="32"/>
    </w:rPr>
  </w:style>
  <w:style w:type="paragraph" w:customStyle="1" w:styleId="7">
    <w:name w:val="汇编正文"/>
    <w:basedOn w:val="1"/>
    <w:link w:val="11"/>
    <w:qFormat/>
    <w:uiPriority w:val="0"/>
    <w:pPr>
      <w:ind w:firstLine="640" w:firstLineChars="200"/>
    </w:pPr>
    <w:rPr>
      <w:rFonts w:ascii="仿宋_GB2312" w:hAnsi="黑体" w:eastAsia="仿宋_GB2312" w:cs="黑体"/>
      <w:color w:val="000000"/>
      <w:sz w:val="32"/>
      <w:szCs w:val="32"/>
    </w:rPr>
  </w:style>
  <w:style w:type="paragraph" w:customStyle="1" w:styleId="8">
    <w:name w:val="汇编落款时间"/>
    <w:basedOn w:val="7"/>
    <w:qFormat/>
    <w:uiPriority w:val="0"/>
    <w:pPr>
      <w:ind w:right="630" w:rightChars="300" w:firstLine="0" w:firstLineChars="0"/>
      <w:jc w:val="right"/>
    </w:pPr>
  </w:style>
  <w:style w:type="paragraph" w:customStyle="1" w:styleId="9">
    <w:name w:val="附件"/>
    <w:basedOn w:val="1"/>
    <w:qFormat/>
    <w:uiPriority w:val="0"/>
    <w:pPr>
      <w:jc w:val="left"/>
    </w:pPr>
    <w:rPr>
      <w:rFonts w:ascii="黑体" w:hAnsi="宋体" w:eastAsia="方正黑体_GBK"/>
      <w:spacing w:val="4"/>
      <w:sz w:val="32"/>
      <w:szCs w:val="32"/>
    </w:rPr>
  </w:style>
  <w:style w:type="paragraph" w:customStyle="1" w:styleId="10">
    <w:name w:val="附件编号"/>
    <w:basedOn w:val="7"/>
    <w:qFormat/>
    <w:uiPriority w:val="0"/>
    <w:pPr>
      <w:ind w:left="765" w:leftChars="765" w:hanging="318" w:hangingChars="100"/>
    </w:pPr>
  </w:style>
  <w:style w:type="character" w:customStyle="1" w:styleId="11">
    <w:name w:val="汇编正文 Char"/>
    <w:basedOn w:val="2"/>
    <w:link w:val="7"/>
    <w:qFormat/>
    <w:uiPriority w:val="0"/>
    <w:rPr>
      <w:rFonts w:ascii="仿宋_GB2312" w:hAnsi="黑体" w:eastAsia="仿宋_GB2312" w:cs="黑体"/>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1044</Words>
  <Characters>5957</Characters>
  <Lines>49</Lines>
  <Paragraphs>13</Paragraphs>
  <TotalTime>1</TotalTime>
  <ScaleCrop>false</ScaleCrop>
  <LinksUpToDate>false</LinksUpToDate>
  <CharactersWithSpaces>6988</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2018-10-18T13:09:00Z</dcterms:created>
  <dc:creator>Windows 用户</dc:creator>
  <cp:lastModifiedBy>时俊雅</cp:lastModifiedBy>
  <dcterms:modified xsi:type="dcterms:W3CDTF">2018-11-16T05:47:10Z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