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eastAsia="方正小标宋_GBK"/>
          <w:b w:val="0"/>
          <w:sz w:val="44"/>
          <w:szCs w:val="44"/>
        </w:rPr>
      </w:pPr>
      <w:bookmarkStart w:id="0" w:name="_Toc501638743"/>
      <w:bookmarkStart w:id="1" w:name="_Toc523324246"/>
      <w:r>
        <w:rPr>
          <w:rFonts w:hint="eastAsia" w:ascii="方正小标宋_GBK" w:eastAsia="方正小标宋_GBK"/>
          <w:b w:val="0"/>
          <w:sz w:val="44"/>
          <w:szCs w:val="44"/>
        </w:rPr>
        <w:t>新乡医学院三全学院</w:t>
      </w:r>
      <w:r>
        <w:rPr>
          <w:rFonts w:hint="eastAsia" w:ascii="方正小标宋_GBK" w:eastAsia="方正小标宋_GBK"/>
          <w:b w:val="0"/>
          <w:sz w:val="44"/>
          <w:szCs w:val="44"/>
        </w:rPr>
        <w:br w:type="textWrapping"/>
      </w:r>
      <w:r>
        <w:rPr>
          <w:rFonts w:hint="eastAsia" w:ascii="方正小标宋_GBK" w:eastAsia="方正小标宋_GBK"/>
          <w:b w:val="0"/>
          <w:sz w:val="44"/>
          <w:szCs w:val="44"/>
        </w:rPr>
        <w:t>学生综合素质评价办法(试行)</w:t>
      </w:r>
      <w:bookmarkEnd w:id="0"/>
      <w:bookmarkEnd w:id="1"/>
    </w:p>
    <w:p>
      <w:pPr>
        <w:pStyle w:val="6"/>
        <w:spacing w:before="312" w:after="312"/>
        <w:rPr>
          <w:rFonts w:hint="eastAsia" w:ascii="楷体_GB2312" w:hAnsi="楷体_GB2312" w:eastAsia="楷体_GB2312" w:cs="楷体_GB2312"/>
        </w:rPr>
      </w:pPr>
      <w:r>
        <w:rPr>
          <w:rFonts w:hint="eastAsia" w:ascii="楷体_GB2312" w:hAnsi="楷体_GB2312" w:eastAsia="楷体_GB2312" w:cs="楷体_GB2312"/>
        </w:rPr>
        <w:t>院学〔2017〕18号</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为全面贯彻党的教育方针，鼓励和引导学生的知识、能力、素质全面协调发展，培养适应社会主义现代化建设要求的高素质、复合型的创新人才，根据我校人才培养目标，结合“双院制”学生培养模式，特制定本办法</w:t>
      </w:r>
      <w:r>
        <w:rPr>
          <w:rFonts w:ascii="仿宋_GB2312" w:hAnsi="黑体" w:eastAsia="仿宋_GB2312" w:cs="黑体"/>
          <w:sz w:val="32"/>
          <w:szCs w:val="32"/>
        </w:rPr>
        <w:t>。</w:t>
      </w:r>
    </w:p>
    <w:p>
      <w:pPr>
        <w:pStyle w:val="7"/>
      </w:pPr>
      <w:r>
        <w:rPr>
          <w:rFonts w:hint="eastAsia"/>
        </w:rPr>
        <w:t>一、指导思想与基本原则</w:t>
      </w:r>
    </w:p>
    <w:p>
      <w:pPr>
        <w:pStyle w:val="9"/>
      </w:pPr>
      <w:r>
        <w:rPr>
          <w:rFonts w:hint="eastAsia"/>
        </w:rPr>
        <w:t>（一）指导思想</w:t>
      </w:r>
    </w:p>
    <w:p>
      <w:pPr>
        <w:pStyle w:val="10"/>
      </w:pPr>
      <w:r>
        <w:rPr>
          <w:rFonts w:hint="eastAsia"/>
        </w:rPr>
        <w:t>深入贯彻落实习近平同志在全国高校思想政治工作会议上重要讲话精神和《中共中央国务院关于深化教育改革全面推行素质教育的决定》、《国家中长期教育改革和发展规划纲要（2010-2020）》精神，坚持“全面适应社会需求，全面实施素质教育，全面培育医学英才”</w:t>
      </w:r>
      <w:r>
        <w:rPr>
          <w:rFonts w:hint="eastAsia"/>
          <w:color w:val="auto"/>
        </w:rPr>
        <w:t>的办学指导思想,关注学生的个性及全面协调发展,建立一套内容全面、客观，程序科学、规范的学生综合素质评价体系，引导学生不断认识自我、发现自我、完善自我，实现教育教学预定目标，促进学生综合素质不断提高。</w:t>
      </w:r>
    </w:p>
    <w:p>
      <w:pPr>
        <w:pStyle w:val="9"/>
      </w:pPr>
      <w:r>
        <w:rPr>
          <w:rFonts w:hint="eastAsia"/>
        </w:rPr>
        <w:t>（二）基本原则</w:t>
      </w:r>
    </w:p>
    <w:p>
      <w:pPr>
        <w:pStyle w:val="10"/>
      </w:pPr>
      <w:r>
        <w:rPr>
          <w:rFonts w:hint="eastAsia"/>
        </w:rPr>
        <w:t xml:space="preserve">1.方向性原则。学校要全面落实党的教育方针，培养德智体美全面发展的社会主义合格建设者和可靠接班人，引导学生通过积极参加志愿服务、承担社会职务、及各项创新实践活动，加强思想政治理论学习，提升社会服务能力和创新实践能力。 </w:t>
      </w:r>
    </w:p>
    <w:p>
      <w:pPr>
        <w:pStyle w:val="10"/>
      </w:pPr>
      <w:r>
        <w:rPr>
          <w:rFonts w:hint="eastAsia"/>
        </w:rPr>
        <w:t>2.科学性原则。按照教育规律与学生身心发展规律，建立科学的评价体系，运用科学的评价方法，既反映学生学业</w:t>
      </w:r>
      <w:r>
        <w:fldChar w:fldCharType="begin"/>
      </w:r>
      <w:r>
        <w:instrText xml:space="preserve"> HYPERLINK "http://home.5ykj.com/mnkc/" \t "_blank" </w:instrText>
      </w:r>
      <w:r>
        <w:fldChar w:fldCharType="separate"/>
      </w:r>
      <w:r>
        <w:rPr>
          <w:rFonts w:hint="eastAsia"/>
        </w:rPr>
        <w:t>成绩</w:t>
      </w:r>
      <w:r>
        <w:rPr>
          <w:rFonts w:hint="eastAsia"/>
        </w:rPr>
        <w:fldChar w:fldCharType="end"/>
      </w:r>
      <w:r>
        <w:rPr>
          <w:rFonts w:hint="eastAsia"/>
        </w:rPr>
        <w:t>又彰显学生个性、特长和发展潜能，扩大评价的涵盖面。</w:t>
      </w:r>
    </w:p>
    <w:p>
      <w:pPr>
        <w:pStyle w:val="10"/>
      </w:pPr>
      <w:r>
        <w:rPr>
          <w:rFonts w:hint="eastAsia"/>
        </w:rPr>
        <w:t>3.公正、公平、公开的原则。确保学生综合素质评价的权威性和真实性。</w:t>
      </w:r>
    </w:p>
    <w:p>
      <w:pPr>
        <w:pStyle w:val="10"/>
      </w:pPr>
      <w:r>
        <w:rPr>
          <w:rFonts w:hint="eastAsia"/>
        </w:rPr>
        <w:t>4.发展性原则。评价以促进学生全面发展为目标，采取定量评价、过程评价与结果评价相结合的方法，关注学生成长，正确发挥评价的导向功能，科学合理地反映学生的综合素质。</w:t>
      </w:r>
    </w:p>
    <w:p>
      <w:pPr>
        <w:pStyle w:val="7"/>
        <w:rPr>
          <w:rFonts w:hint="eastAsia"/>
        </w:rPr>
      </w:pPr>
      <w:r>
        <w:rPr>
          <w:rFonts w:hint="eastAsia"/>
        </w:rPr>
        <w:t>二、学生综合素质评价的作用</w:t>
      </w:r>
    </w:p>
    <w:p>
      <w:pPr>
        <w:pStyle w:val="10"/>
      </w:pPr>
      <w:r>
        <w:rPr>
          <w:rFonts w:hint="eastAsia"/>
        </w:rPr>
        <w:t>（一）学生综合素质评价是以直观的方式反映每位学生每学年的实际素质状况。</w:t>
      </w:r>
    </w:p>
    <w:p>
      <w:pPr>
        <w:pStyle w:val="10"/>
      </w:pPr>
      <w:r>
        <w:rPr>
          <w:rFonts w:hint="eastAsia"/>
        </w:rPr>
        <w:t>（二）学生综合素质评价分数是评定各类奖学金、评选先进个人及先进集体荣誉称号等各项工作的重要依据。</w:t>
      </w:r>
    </w:p>
    <w:p>
      <w:pPr>
        <w:pStyle w:val="7"/>
        <w:rPr>
          <w:rFonts w:hint="eastAsia"/>
        </w:rPr>
      </w:pPr>
      <w:r>
        <w:rPr>
          <w:rFonts w:hint="eastAsia"/>
        </w:rPr>
        <w:t>三、学生综合素质评价的内容</w:t>
      </w:r>
    </w:p>
    <w:p>
      <w:pPr>
        <w:pStyle w:val="10"/>
      </w:pPr>
      <w:r>
        <w:rPr>
          <w:rFonts w:hint="eastAsia"/>
        </w:rPr>
        <w:t>学生综合素质评价是对学生在校期间各方面表现的综合评价。凡在本校注册并参加全日制学习活动的本、专科学生，均应按照《新乡医学院三全学院学生综合素质评价细则》（附件1）以层次、年级和专业为单位进行评价。</w:t>
      </w:r>
    </w:p>
    <w:p>
      <w:pPr>
        <w:pStyle w:val="10"/>
      </w:pPr>
      <w:r>
        <w:rPr>
          <w:rFonts w:hint="eastAsia"/>
        </w:rPr>
        <w:t>学生综合素质评价主要内容包括的指标以我校学生培养目标和培养模式为依据，涵盖通识教育和专业教育两方面的内容。通识教育和专业教育的内容均包含“第一课堂”和“第二课堂”，分别以知识素养成绩和能力素养成绩进行衡量计算。</w:t>
      </w:r>
    </w:p>
    <w:p>
      <w:pPr>
        <w:ind w:firstLine="640" w:firstLineChars="200"/>
        <w:rPr>
          <w:rFonts w:ascii="仿宋_GB2312" w:eastAsia="仿宋_GB2312"/>
          <w:sz w:val="32"/>
          <w:szCs w:val="32"/>
        </w:rPr>
      </w:pPr>
      <w:r>
        <w:rPr>
          <w:rFonts w:ascii="仿宋_GB2312" w:eastAsia="仿宋_GB2312"/>
          <w:sz w:val="32"/>
          <w:szCs w:val="32"/>
        </w:rPr>
        <mc:AlternateContent>
          <mc:Choice Requires="wpg">
            <w:drawing>
              <wp:anchor distT="0" distB="0" distL="114300" distR="114300" simplePos="0" relativeHeight="251687936" behindDoc="0" locked="0" layoutInCell="1" allowOverlap="1">
                <wp:simplePos x="0" y="0"/>
                <wp:positionH relativeFrom="character">
                  <wp:posOffset>0</wp:posOffset>
                </wp:positionH>
                <wp:positionV relativeFrom="line">
                  <wp:posOffset>0</wp:posOffset>
                </wp:positionV>
                <wp:extent cx="4257675" cy="1141095"/>
                <wp:effectExtent l="12700" t="0" r="15875" b="27305"/>
                <wp:wrapNone/>
                <wp:docPr id="369" name="组合 369"/>
                <wp:cNvGraphicFramePr/>
                <a:graphic xmlns:a="http://schemas.openxmlformats.org/drawingml/2006/main">
                  <a:graphicData uri="http://schemas.microsoft.com/office/word/2010/wordprocessingGroup">
                    <wpg:wgp>
                      <wpg:cNvGrpSpPr/>
                      <wpg:grpSpPr>
                        <a:xfrm>
                          <a:off x="0" y="0"/>
                          <a:ext cx="4257675" cy="1141095"/>
                          <a:chOff x="2640" y="2172"/>
                          <a:chExt cx="6705" cy="1797"/>
                        </a:xfrm>
                        <a:effectLst/>
                      </wpg:grpSpPr>
                      <wps:wsp>
                        <wps:cNvPr id="370" name="矩形 1"/>
                        <wps:cNvSpPr>
                          <a:spLocks noChangeArrowheads="1"/>
                        </wps:cNvSpPr>
                        <wps:spPr bwMode="auto">
                          <a:xfrm>
                            <a:off x="2640" y="2274"/>
                            <a:ext cx="735" cy="1656"/>
                          </a:xfrm>
                          <a:prstGeom prst="rect">
                            <a:avLst/>
                          </a:prstGeom>
                          <a:solidFill>
                            <a:srgbClr val="FFFFFF"/>
                          </a:solidFill>
                          <a:ln w="25400">
                            <a:solidFill>
                              <a:srgbClr val="000000"/>
                            </a:solidFill>
                            <a:bevel/>
                          </a:ln>
                          <a:effectLst/>
                        </wps:spPr>
                        <wps:txbx>
                          <w:txbxContent>
                            <w:p>
                              <w:pPr>
                                <w:jc w:val="center"/>
                                <w:rPr>
                                  <w:sz w:val="18"/>
                                  <w:szCs w:val="18"/>
                                </w:rPr>
                              </w:pPr>
                              <w:r>
                                <w:rPr>
                                  <w:rFonts w:hint="eastAsia"/>
                                  <w:sz w:val="18"/>
                                  <w:szCs w:val="18"/>
                                </w:rPr>
                                <w:t>学生综合素质评价</w:t>
                              </w:r>
                            </w:p>
                          </w:txbxContent>
                        </wps:txbx>
                        <wps:bodyPr rot="0" vert="horz" wrap="square" lIns="91440" tIns="45720" rIns="91440" bIns="45720" anchor="ctr" anchorCtr="0" upright="1">
                          <a:noAutofit/>
                        </wps:bodyPr>
                      </wps:wsp>
                      <wps:wsp>
                        <wps:cNvPr id="371" name="直接连接符 3"/>
                        <wps:cNvCnPr>
                          <a:cxnSpLocks noChangeShapeType="1"/>
                        </wps:cNvCnPr>
                        <wps:spPr bwMode="auto">
                          <a:xfrm>
                            <a:off x="3375" y="3072"/>
                            <a:ext cx="435" cy="0"/>
                          </a:xfrm>
                          <a:prstGeom prst="line">
                            <a:avLst/>
                          </a:prstGeom>
                          <a:noFill/>
                          <a:ln w="9525">
                            <a:solidFill>
                              <a:srgbClr val="000000"/>
                            </a:solidFill>
                            <a:round/>
                          </a:ln>
                          <a:effectLst/>
                        </wps:spPr>
                        <wps:bodyPr/>
                      </wps:wsp>
                      <wps:wsp>
                        <wps:cNvPr id="372" name="直接连接符 4"/>
                        <wps:cNvCnPr>
                          <a:cxnSpLocks noChangeShapeType="1"/>
                        </wps:cNvCnPr>
                        <wps:spPr bwMode="auto">
                          <a:xfrm>
                            <a:off x="3810" y="2487"/>
                            <a:ext cx="1" cy="1242"/>
                          </a:xfrm>
                          <a:prstGeom prst="line">
                            <a:avLst/>
                          </a:prstGeom>
                          <a:noFill/>
                          <a:ln w="9525">
                            <a:solidFill>
                              <a:srgbClr val="000000"/>
                            </a:solidFill>
                            <a:round/>
                          </a:ln>
                          <a:effectLst/>
                        </wps:spPr>
                        <wps:bodyPr/>
                      </wps:wsp>
                      <wps:wsp>
                        <wps:cNvPr id="373" name="直接箭头连接符 5"/>
                        <wps:cNvCnPr>
                          <a:cxnSpLocks noChangeShapeType="1"/>
                        </wps:cNvCnPr>
                        <wps:spPr bwMode="auto">
                          <a:xfrm>
                            <a:off x="3810" y="2487"/>
                            <a:ext cx="610" cy="0"/>
                          </a:xfrm>
                          <a:prstGeom prst="straightConnector1">
                            <a:avLst/>
                          </a:prstGeom>
                          <a:noFill/>
                          <a:ln w="9525">
                            <a:solidFill>
                              <a:srgbClr val="000000"/>
                            </a:solidFill>
                            <a:round/>
                            <a:tailEnd type="arrow" w="med" len="med"/>
                          </a:ln>
                          <a:effectLst/>
                        </wps:spPr>
                        <wps:bodyPr/>
                      </wps:wsp>
                      <wps:wsp>
                        <wps:cNvPr id="374" name="矩形 7"/>
                        <wps:cNvSpPr>
                          <a:spLocks noChangeArrowheads="1"/>
                        </wps:cNvSpPr>
                        <wps:spPr bwMode="auto">
                          <a:xfrm>
                            <a:off x="4425" y="2172"/>
                            <a:ext cx="1050" cy="552"/>
                          </a:xfrm>
                          <a:prstGeom prst="rect">
                            <a:avLst/>
                          </a:prstGeom>
                          <a:solidFill>
                            <a:srgbClr val="FFFFFF"/>
                          </a:solidFill>
                          <a:ln w="25400">
                            <a:solidFill>
                              <a:srgbClr val="000000"/>
                            </a:solidFill>
                            <a:bevel/>
                          </a:ln>
                          <a:effectLst/>
                        </wps:spPr>
                        <wps:txbx>
                          <w:txbxContent>
                            <w:p>
                              <w:pPr>
                                <w:jc w:val="center"/>
                                <w:rPr>
                                  <w:sz w:val="18"/>
                                  <w:szCs w:val="18"/>
                                </w:rPr>
                              </w:pPr>
                              <w:r>
                                <w:rPr>
                                  <w:rFonts w:hint="eastAsia"/>
                                  <w:sz w:val="18"/>
                                  <w:szCs w:val="18"/>
                                </w:rPr>
                                <w:t>专业教育</w:t>
                              </w:r>
                            </w:p>
                          </w:txbxContent>
                        </wps:txbx>
                        <wps:bodyPr rot="0" vert="horz" wrap="square" lIns="91440" tIns="45720" rIns="91440" bIns="45720" anchor="ctr" anchorCtr="0" upright="1">
                          <a:noAutofit/>
                        </wps:bodyPr>
                      </wps:wsp>
                      <wps:wsp>
                        <wps:cNvPr id="375" name="矩形 8"/>
                        <wps:cNvSpPr>
                          <a:spLocks noChangeArrowheads="1"/>
                        </wps:cNvSpPr>
                        <wps:spPr bwMode="auto">
                          <a:xfrm>
                            <a:off x="4425" y="3417"/>
                            <a:ext cx="1050" cy="552"/>
                          </a:xfrm>
                          <a:prstGeom prst="rect">
                            <a:avLst/>
                          </a:prstGeom>
                          <a:solidFill>
                            <a:srgbClr val="FFFFFF"/>
                          </a:solidFill>
                          <a:ln w="25400">
                            <a:solidFill>
                              <a:srgbClr val="000000"/>
                            </a:solidFill>
                            <a:bevel/>
                          </a:ln>
                          <a:effectLst/>
                        </wps:spPr>
                        <wps:txbx>
                          <w:txbxContent>
                            <w:p>
                              <w:pPr>
                                <w:jc w:val="center"/>
                                <w:rPr>
                                  <w:sz w:val="18"/>
                                  <w:szCs w:val="18"/>
                                </w:rPr>
                              </w:pPr>
                              <w:r>
                                <w:rPr>
                                  <w:rFonts w:hint="eastAsia"/>
                                  <w:sz w:val="18"/>
                                  <w:szCs w:val="18"/>
                                </w:rPr>
                                <w:t>通识教育</w:t>
                              </w:r>
                            </w:p>
                          </w:txbxContent>
                        </wps:txbx>
                        <wps:bodyPr rot="0" vert="horz" wrap="square" lIns="91440" tIns="45720" rIns="91440" bIns="45720" anchor="ctr" anchorCtr="0" upright="1">
                          <a:noAutofit/>
                        </wps:bodyPr>
                      </wps:wsp>
                      <wps:wsp>
                        <wps:cNvPr id="376" name="直接连接符 9"/>
                        <wps:cNvCnPr>
                          <a:cxnSpLocks noChangeShapeType="1"/>
                        </wps:cNvCnPr>
                        <wps:spPr bwMode="auto">
                          <a:xfrm>
                            <a:off x="5475" y="2457"/>
                            <a:ext cx="450" cy="0"/>
                          </a:xfrm>
                          <a:prstGeom prst="line">
                            <a:avLst/>
                          </a:prstGeom>
                          <a:noFill/>
                          <a:ln w="9525">
                            <a:solidFill>
                              <a:srgbClr val="000000"/>
                            </a:solidFill>
                            <a:round/>
                          </a:ln>
                          <a:effectLst/>
                        </wps:spPr>
                        <wps:bodyPr/>
                      </wps:wsp>
                      <wps:wsp>
                        <wps:cNvPr id="377" name="直接连接符 10"/>
                        <wps:cNvCnPr>
                          <a:cxnSpLocks noChangeShapeType="1"/>
                        </wps:cNvCnPr>
                        <wps:spPr bwMode="auto">
                          <a:xfrm>
                            <a:off x="5475" y="3747"/>
                            <a:ext cx="450" cy="0"/>
                          </a:xfrm>
                          <a:prstGeom prst="line">
                            <a:avLst/>
                          </a:prstGeom>
                          <a:noFill/>
                          <a:ln w="9525">
                            <a:solidFill>
                              <a:srgbClr val="000000"/>
                            </a:solidFill>
                            <a:round/>
                          </a:ln>
                          <a:effectLst/>
                        </wps:spPr>
                        <wps:bodyPr/>
                      </wps:wsp>
                      <wps:wsp>
                        <wps:cNvPr id="378" name="直接箭头连接符 16"/>
                        <wps:cNvCnPr>
                          <a:cxnSpLocks noChangeShapeType="1"/>
                        </wps:cNvCnPr>
                        <wps:spPr bwMode="auto">
                          <a:xfrm flipV="1">
                            <a:off x="6255" y="2412"/>
                            <a:ext cx="660" cy="0"/>
                          </a:xfrm>
                          <a:prstGeom prst="straightConnector1">
                            <a:avLst/>
                          </a:prstGeom>
                          <a:noFill/>
                          <a:ln w="9525">
                            <a:solidFill>
                              <a:srgbClr val="000000"/>
                            </a:solidFill>
                            <a:round/>
                            <a:tailEnd type="arrow" w="med" len="med"/>
                          </a:ln>
                          <a:effectLst/>
                        </wps:spPr>
                        <wps:bodyPr/>
                      </wps:wsp>
                      <wps:wsp>
                        <wps:cNvPr id="379" name="直接箭头连接符 17"/>
                        <wps:cNvCnPr>
                          <a:cxnSpLocks noChangeShapeType="1"/>
                        </wps:cNvCnPr>
                        <wps:spPr bwMode="auto">
                          <a:xfrm>
                            <a:off x="6255" y="3732"/>
                            <a:ext cx="660" cy="0"/>
                          </a:xfrm>
                          <a:prstGeom prst="straightConnector1">
                            <a:avLst/>
                          </a:prstGeom>
                          <a:noFill/>
                          <a:ln w="9525">
                            <a:solidFill>
                              <a:srgbClr val="000000"/>
                            </a:solidFill>
                            <a:round/>
                            <a:tailEnd type="arrow" w="med" len="med"/>
                          </a:ln>
                          <a:effectLst/>
                        </wps:spPr>
                        <wps:bodyPr/>
                      </wps:wsp>
                      <wps:wsp>
                        <wps:cNvPr id="380" name="直接连接符 24"/>
                        <wps:cNvCnPr>
                          <a:cxnSpLocks noChangeShapeType="1"/>
                        </wps:cNvCnPr>
                        <wps:spPr bwMode="auto">
                          <a:xfrm>
                            <a:off x="5925" y="2457"/>
                            <a:ext cx="1" cy="1290"/>
                          </a:xfrm>
                          <a:prstGeom prst="line">
                            <a:avLst/>
                          </a:prstGeom>
                          <a:noFill/>
                          <a:ln w="9525">
                            <a:solidFill>
                              <a:srgbClr val="000000"/>
                            </a:solidFill>
                            <a:round/>
                          </a:ln>
                          <a:effectLst/>
                        </wps:spPr>
                        <wps:bodyPr/>
                      </wps:wsp>
                      <wps:wsp>
                        <wps:cNvPr id="381" name="矩形 25"/>
                        <wps:cNvSpPr>
                          <a:spLocks noChangeArrowheads="1"/>
                        </wps:cNvSpPr>
                        <wps:spPr bwMode="auto">
                          <a:xfrm>
                            <a:off x="6915" y="3402"/>
                            <a:ext cx="2430" cy="552"/>
                          </a:xfrm>
                          <a:prstGeom prst="rect">
                            <a:avLst/>
                          </a:prstGeom>
                          <a:solidFill>
                            <a:srgbClr val="FFFFFF"/>
                          </a:solidFill>
                          <a:ln w="25400">
                            <a:solidFill>
                              <a:srgbClr val="000000"/>
                            </a:solidFill>
                            <a:bevel/>
                          </a:ln>
                          <a:effectLst/>
                        </wps:spPr>
                        <wps:txbx>
                          <w:txbxContent>
                            <w:p>
                              <w:pPr>
                                <w:jc w:val="center"/>
                                <w:rPr>
                                  <w:sz w:val="18"/>
                                  <w:szCs w:val="18"/>
                                </w:rPr>
                              </w:pPr>
                              <w:r>
                                <w:rPr>
                                  <w:rFonts w:hint="eastAsia"/>
                                  <w:sz w:val="18"/>
                                  <w:szCs w:val="18"/>
                                </w:rPr>
                                <w:t>能力素养</w:t>
                              </w:r>
                            </w:p>
                          </w:txbxContent>
                        </wps:txbx>
                        <wps:bodyPr rot="0" vert="horz" wrap="square" lIns="91440" tIns="45720" rIns="91440" bIns="45720" anchor="ctr" anchorCtr="0" upright="1">
                          <a:noAutofit/>
                        </wps:bodyPr>
                      </wps:wsp>
                      <wps:wsp>
                        <wps:cNvPr id="382" name="矩形 26"/>
                        <wps:cNvSpPr>
                          <a:spLocks noChangeArrowheads="1"/>
                        </wps:cNvSpPr>
                        <wps:spPr bwMode="auto">
                          <a:xfrm>
                            <a:off x="6915" y="2172"/>
                            <a:ext cx="2430" cy="552"/>
                          </a:xfrm>
                          <a:prstGeom prst="rect">
                            <a:avLst/>
                          </a:prstGeom>
                          <a:solidFill>
                            <a:srgbClr val="FFFFFF"/>
                          </a:solidFill>
                          <a:ln w="25400">
                            <a:solidFill>
                              <a:srgbClr val="000000"/>
                            </a:solidFill>
                            <a:bevel/>
                          </a:ln>
                          <a:effectLst/>
                        </wps:spPr>
                        <wps:txbx>
                          <w:txbxContent>
                            <w:p>
                              <w:pPr>
                                <w:jc w:val="center"/>
                                <w:rPr>
                                  <w:sz w:val="18"/>
                                  <w:szCs w:val="18"/>
                                </w:rPr>
                              </w:pPr>
                              <w:r>
                                <w:rPr>
                                  <w:rFonts w:hint="eastAsia"/>
                                  <w:sz w:val="18"/>
                                  <w:szCs w:val="18"/>
                                </w:rPr>
                                <w:t>知识素养</w:t>
                              </w:r>
                            </w:p>
                          </w:txbxContent>
                        </wps:txbx>
                        <wps:bodyPr rot="0" vert="horz" wrap="square" lIns="91440" tIns="45720" rIns="91440" bIns="45720" anchor="ctr" anchorCtr="0" upright="1">
                          <a:noAutofit/>
                        </wps:bodyPr>
                      </wps:wsp>
                      <wps:wsp>
                        <wps:cNvPr id="383" name="直接连接符 2"/>
                        <wps:cNvCnPr>
                          <a:cxnSpLocks noChangeShapeType="1"/>
                        </wps:cNvCnPr>
                        <wps:spPr bwMode="auto">
                          <a:xfrm>
                            <a:off x="5925" y="3117"/>
                            <a:ext cx="330" cy="0"/>
                          </a:xfrm>
                          <a:prstGeom prst="line">
                            <a:avLst/>
                          </a:prstGeom>
                          <a:noFill/>
                          <a:ln w="9525">
                            <a:solidFill>
                              <a:srgbClr val="000000"/>
                            </a:solidFill>
                            <a:round/>
                          </a:ln>
                          <a:effectLst/>
                        </wps:spPr>
                        <wps:bodyPr/>
                      </wps:wsp>
                      <wps:wsp>
                        <wps:cNvPr id="384" name="直接连接符 11"/>
                        <wps:cNvCnPr>
                          <a:cxnSpLocks noChangeShapeType="1"/>
                        </wps:cNvCnPr>
                        <wps:spPr bwMode="auto">
                          <a:xfrm>
                            <a:off x="6255" y="2412"/>
                            <a:ext cx="1" cy="1329"/>
                          </a:xfrm>
                          <a:prstGeom prst="line">
                            <a:avLst/>
                          </a:prstGeom>
                          <a:noFill/>
                          <a:ln w="9525">
                            <a:solidFill>
                              <a:srgbClr val="000000"/>
                            </a:solidFill>
                            <a:round/>
                          </a:ln>
                          <a:effectLst/>
                        </wps:spPr>
                        <wps:bodyPr/>
                      </wps:wsp>
                      <wps:wsp>
                        <wps:cNvPr id="385" name="直接箭头连接符 12"/>
                        <wps:cNvCnPr>
                          <a:cxnSpLocks noChangeShapeType="1"/>
                        </wps:cNvCnPr>
                        <wps:spPr bwMode="auto">
                          <a:xfrm>
                            <a:off x="3810" y="3732"/>
                            <a:ext cx="610" cy="0"/>
                          </a:xfrm>
                          <a:prstGeom prst="straightConnector1">
                            <a:avLst/>
                          </a:prstGeom>
                          <a:noFill/>
                          <a:ln w="9525">
                            <a:solidFill>
                              <a:srgbClr val="000000"/>
                            </a:solidFill>
                            <a:round/>
                            <a:tailEnd type="arrow" w="med" len="med"/>
                          </a:ln>
                          <a:effectLst/>
                        </wps:spPr>
                        <wps:bodyPr/>
                      </wps:wsp>
                    </wpg:wgp>
                  </a:graphicData>
                </a:graphic>
              </wp:anchor>
            </w:drawing>
          </mc:Choice>
          <mc:Fallback>
            <w:pict>
              <v:group id="_x0000_s1026" o:spid="_x0000_s1026" o:spt="203" style="position:absolute;left:0pt;margin-left:0pt;margin-top:0pt;height:89.85pt;width:335.25pt;mso-position-horizontal-relative:char;mso-position-vertical-relative:line;z-index:251687936;mso-width-relative:page;mso-height-relative:page;" coordorigin="2640,2172" coordsize="6705,1797" o:gfxdata="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mpfPOtYAAAAFAQAADwAAAAAAAAABACAAAAAiAAAAZHJzL2Rvd25yZXYueG1sUEsBAhQAFAAAAAgA&#10;h07iQEEuj3sMBQAAmCUAAA4AAAAAAAAAAQAgAAAAJQEAAGRycy9lMm9Eb2MueG1sUEsFBgAAAAAG&#10;AAYAWQEAAKMIAAAAAA==&#10;">
                <o:lock v:ext="edit" aspectratio="f"/>
                <v:rect id="矩形 1" o:spid="_x0000_s1026" o:spt="1" style="position:absolute;left:2640;top:2274;height:1656;width:735;v-text-anchor:middle;" fillcolor="#FFFFFF" filled="t" stroked="t" coordsize="21600,21600" o:gfxdata="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xn6S8AAAA&#10;3AAAAA8AAAAAAAAAAQAgAAAAIgAAAGRycy9kb3ducmV2LnhtbFBLAQIUABQAAAAIAIdO4kAzLwWe&#10;OwAAADkAAAAQAAAAAAAAAAEAIAAAAAsBAABkcnMvc2hhcGV4bWwueG1sUEsFBgAAAAAGAAYAWwEA&#10;ALUDAAAAAA==&#10;">
                  <v:fill on="t" focussize="0,0"/>
                  <v:stroke weight="2pt" color="#000000" joinstyle="bevel"/>
                  <v:imagedata o:title=""/>
                  <o:lock v:ext="edit" aspectratio="f"/>
                  <v:textbox>
                    <w:txbxContent>
                      <w:p>
                        <w:pPr>
                          <w:jc w:val="center"/>
                          <w:rPr>
                            <w:sz w:val="18"/>
                            <w:szCs w:val="18"/>
                          </w:rPr>
                        </w:pPr>
                        <w:r>
                          <w:rPr>
                            <w:rFonts w:hint="eastAsia"/>
                            <w:sz w:val="18"/>
                            <w:szCs w:val="18"/>
                          </w:rPr>
                          <w:t>学生综合素质评价</w:t>
                        </w:r>
                      </w:p>
                    </w:txbxContent>
                  </v:textbox>
                </v:rect>
                <v:line id="直接连接符 3" o:spid="_x0000_s1026" o:spt="20" style="position:absolute;left:3375;top:3072;height:0;width:435;" filled="f" stroked="t" coordsize="21600,21600" o:gfxdata="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yE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4" o:spid="_x0000_s1026" o:spt="20" style="position:absolute;left:3810;top:2487;height:1242;width:1;" filled="f" stroked="t" coordsize="21600,21600" o:gfxdata="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b9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5" o:spid="_x0000_s1026" o:spt="32" type="#_x0000_t32" style="position:absolute;left:3810;top:2487;height:0;width:610;" filled="f" stroked="t" coordsize="21600,21600" o:gfxdata="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rgv7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rect id="矩形 7" o:spid="_x0000_s1026" o:spt="1" style="position:absolute;left:4425;top:2172;height:552;width:1050;v-text-anchor:middle;" fillcolor="#FFFFFF" filled="t" stroked="t" coordsize="21600,21600" o:gfxdata="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8qZp74A&#10;AADcAAAADwAAAAAAAAABACAAAAAiAAAAZHJzL2Rvd25yZXYueG1sUEsBAhQAFAAAAAgAh07iQDMv&#10;BZ47AAAAOQAAABAAAAAAAAAAAQAgAAAADQEAAGRycy9zaGFwZXhtbC54bWxQSwUGAAAAAAYABgBb&#10;AQAAtwMAAAAA&#10;">
                  <v:fill on="t" focussize="0,0"/>
                  <v:stroke weight="2pt" color="#000000" joinstyle="bevel"/>
                  <v:imagedata o:title=""/>
                  <o:lock v:ext="edit" aspectratio="f"/>
                  <v:textbox>
                    <w:txbxContent>
                      <w:p>
                        <w:pPr>
                          <w:jc w:val="center"/>
                          <w:rPr>
                            <w:sz w:val="18"/>
                            <w:szCs w:val="18"/>
                          </w:rPr>
                        </w:pPr>
                        <w:r>
                          <w:rPr>
                            <w:rFonts w:hint="eastAsia"/>
                            <w:sz w:val="18"/>
                            <w:szCs w:val="18"/>
                          </w:rPr>
                          <w:t>专业教育</w:t>
                        </w:r>
                      </w:p>
                    </w:txbxContent>
                  </v:textbox>
                </v:rect>
                <v:rect id="矩形 8" o:spid="_x0000_s1026" o:spt="1" style="position:absolute;left:4425;top:3417;height:552;width:1050;v-text-anchor:middle;" fillcolor="#FFFFFF" filled="t" stroked="t" coordsize="21600,21600" o:gfxdata="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GPDy/&#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通识教育</w:t>
                        </w:r>
                      </w:p>
                    </w:txbxContent>
                  </v:textbox>
                </v:rect>
                <v:line id="直接连接符 9" o:spid="_x0000_s1026" o:spt="20" style="position:absolute;left:5475;top:2457;height:0;width:450;" filled="f" stroked="t" coordsize="21600,21600" o:gfxdata="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rl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5475;top:3747;height:0;width:450;" filled="f" stroked="t" coordsize="21600,21600" o:gfxdata="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1hz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16" o:spid="_x0000_s1026" o:spt="32" type="#_x0000_t32" style="position:absolute;left:6255;top:2412;flip:y;height:0;width:660;" filled="f" stroked="t" coordsize="21600,21600" o:gfxdata="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jgN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直接箭头连接符 17" o:spid="_x0000_s1026" o:spt="32" type="#_x0000_t32" style="position:absolute;left:6255;top:3732;height:0;width:660;" filled="f" stroked="t" coordsize="21600,21600" o:gfxdata="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Y8Eb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line id="直接连接符 24" o:spid="_x0000_s1026" o:spt="20" style="position:absolute;left:5925;top:2457;height:1290;width:1;" filled="f" stroked="t" coordsize="21600,21600" o:gfxdata="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Or0n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rect id="矩形 25" o:spid="_x0000_s1026" o:spt="1" style="position:absolute;left:6915;top:3402;height:552;width:2430;v-text-anchor:middle;" fillcolor="#FFFFFF" filled="t" stroked="t" coordsize="21600,21600" o:gfxdata="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5oShi/&#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能力素养</w:t>
                        </w:r>
                      </w:p>
                    </w:txbxContent>
                  </v:textbox>
                </v:rect>
                <v:rect id="矩形 26" o:spid="_x0000_s1026" o:spt="1" style="position:absolute;left:6915;top:2172;height:552;width:2430;v-text-anchor:middle;" fillcolor="#FFFFFF" filled="t" stroked="t" coordsize="21600,21600" o:gfxdata="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661G+/&#10;AAAA3AAAAA8AAAAAAAAAAQAgAAAAIgAAAGRycy9kb3ducmV2LnhtbFBLAQIUABQAAAAIAIdO4kAz&#10;LwWeOwAAADkAAAAQAAAAAAAAAAEAIAAAAA4BAABkcnMvc2hhcGV4bWwueG1sUEsFBgAAAAAGAAYA&#10;WwEAALgDAAAAAA==&#10;">
                  <v:fill on="t" focussize="0,0"/>
                  <v:stroke weight="2pt" color="#000000" joinstyle="bevel"/>
                  <v:imagedata o:title=""/>
                  <o:lock v:ext="edit" aspectratio="f"/>
                  <v:textbox>
                    <w:txbxContent>
                      <w:p>
                        <w:pPr>
                          <w:jc w:val="center"/>
                          <w:rPr>
                            <w:sz w:val="18"/>
                            <w:szCs w:val="18"/>
                          </w:rPr>
                        </w:pPr>
                        <w:r>
                          <w:rPr>
                            <w:rFonts w:hint="eastAsia"/>
                            <w:sz w:val="18"/>
                            <w:szCs w:val="18"/>
                          </w:rPr>
                          <w:t>知识素养</w:t>
                        </w:r>
                      </w:p>
                    </w:txbxContent>
                  </v:textbox>
                </v:rect>
                <v:line id="直接连接符 2" o:spid="_x0000_s1026" o:spt="20" style="position:absolute;left:5925;top:3117;height:0;width:330;" filled="f" stroked="t" coordsize="21600,21600" o:gfxdata="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4au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11" o:spid="_x0000_s1026" o:spt="20" style="position:absolute;left:6255;top:2412;height:1329;width:1;" filled="f" stroked="t" coordsize="21600,21600" o:gfxdata="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0fK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直接箭头连接符 12" o:spid="_x0000_s1026" o:spt="32" type="#_x0000_t32" style="position:absolute;left:3810;top:3732;height:0;width:610;" filled="f" stroked="t" coordsize="21600,21600" o:gfxdata="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95GM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group>
            </w:pict>
          </mc:Fallback>
        </mc:AlternateContent>
      </w:r>
      <w:r>
        <w:rPr>
          <w:rFonts w:ascii="仿宋_GB2312" w:eastAsia="仿宋_GB2312"/>
          <w:sz w:val="32"/>
          <w:szCs w:val="32"/>
        </w:rPr>
        <mc:AlternateContent>
          <mc:Choice Requires="wps">
            <w:drawing>
              <wp:inline distT="0" distB="0" distL="114300" distR="114300">
                <wp:extent cx="4259580" cy="1137285"/>
                <wp:effectExtent l="0" t="0" r="0" b="0"/>
                <wp:docPr id="150" name="矩形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59580" cy="1137285"/>
                        </a:xfrm>
                        <a:prstGeom prst="rect">
                          <a:avLst/>
                        </a:prstGeom>
                        <a:noFill/>
                        <a:ln>
                          <a:noFill/>
                        </a:ln>
                        <a:effectLst/>
                      </wps:spPr>
                      <wps:bodyPr rot="0" vert="horz" wrap="square" lIns="91440" tIns="45720" rIns="91440" bIns="45720" anchor="t" anchorCtr="0" upright="1">
                        <a:noAutofit/>
                      </wps:bodyPr>
                    </wps:wsp>
                  </a:graphicData>
                </a:graphic>
              </wp:inline>
            </w:drawing>
          </mc:Choice>
          <mc:Fallback>
            <w:pict>
              <v:rect id="_x0000_s1026" o:spid="_x0000_s1026" o:spt="1" style="height:89.55pt;width:335.4pt;" filled="f" stroked="f" coordsize="21600,21600" o:gfxdata="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Zp/W1gAAAAUBAAAPAAAAAAAAAAEAIAAAACIAAABkcnMvZG93bnJldi54bWxQ&#10;SwECFAAUAAAACACHTuJArTMO4vkBAADVAwAADgAAAAAAAAABACAAAAAlAQAAZHJzL2Uyb0RvYy54&#10;bWxQSwUGAAAAAAYABgBZAQAAkAUAAAAA&#10;">
                <v:fill on="f" focussize="0,0"/>
                <v:stroke on="f"/>
                <v:imagedata o:title=""/>
                <o:lock v:ext="edit" aspectratio="t"/>
                <w10:wrap type="none"/>
                <w10:anchorlock/>
              </v:rect>
            </w:pict>
          </mc:Fallback>
        </mc:AlternateContent>
      </w:r>
    </w:p>
    <w:p>
      <w:pPr>
        <w:pStyle w:val="10"/>
      </w:pPr>
      <w:r>
        <w:rPr>
          <w:rFonts w:hint="eastAsia"/>
        </w:rPr>
        <w:t>（一）能力素养分为社会服务能力和创新实践能力两部分。社会服务能力包括学生德行表现、志愿服务情况、担任学生职务情况以及特殊贡献；创新实践能力是指学生在参加竞赛类、学术类创新实践活动过程中，获得各级奖项、荣誉等情况。</w:t>
      </w:r>
    </w:p>
    <w:p>
      <w:pPr>
        <w:pStyle w:val="10"/>
      </w:pPr>
      <w:r>
        <w:rPr>
          <w:rFonts w:hint="eastAsia"/>
        </w:rPr>
        <w:t>（二）知识素养是指学生在一学年内参加教学计划规定的必修课平均量化成绩，根据不同课程、不同学分进行计算，包括学生的专业必修课和通识必修课平均量化成绩。</w:t>
      </w:r>
    </w:p>
    <w:p>
      <w:pPr>
        <w:pStyle w:val="7"/>
        <w:rPr>
          <w:rFonts w:hint="eastAsia"/>
        </w:rPr>
      </w:pPr>
      <w:r>
        <w:rPr>
          <w:rFonts w:hint="eastAsia"/>
        </w:rPr>
        <w:t>四、学生综合素质评价程序</w:t>
      </w:r>
    </w:p>
    <w:p>
      <w:pPr>
        <w:pStyle w:val="10"/>
      </w:pPr>
      <w:r>
        <w:rPr>
          <w:rFonts w:hint="eastAsia"/>
        </w:rPr>
        <w:t>学生综合素质评价每学年9月份进行，全程由纪检监察审计部监督，程序如下：</w:t>
      </w:r>
    </w:p>
    <w:p>
      <w:pPr>
        <w:pStyle w:val="10"/>
      </w:pPr>
      <w:r>
        <w:rPr>
          <w:rFonts w:hint="eastAsia"/>
        </w:rPr>
        <w:t>（一）学生综合素质评价由学务部负责实施，相关职能部门、院（系、部）和书院应在各项工作（活动）完成后10个工作日内将初审结果公示，并将结果提交至学生工作办公系统。逾期未提供的数据，学务部有权不予认可。</w:t>
      </w:r>
    </w:p>
    <w:p>
      <w:pPr>
        <w:pStyle w:val="10"/>
      </w:pPr>
      <w:r>
        <w:rPr>
          <w:rFonts w:hint="eastAsia"/>
        </w:rPr>
        <w:t>（二）学务部负责学生综测项目成绩的复审，并进行全校二次公示。公示期间，各单位如有异议，可在5个工作日内，将确认结果报送至学务部。逾期，原始数据和分数不再进行更改。</w:t>
      </w:r>
    </w:p>
    <w:p>
      <w:pPr>
        <w:pStyle w:val="10"/>
      </w:pPr>
      <w:r>
        <w:rPr>
          <w:rFonts w:hint="eastAsia"/>
        </w:rPr>
        <w:t>（三）学生综测项目成绩确认无异议后，学务部负责按照《新乡医学院三全学院学生综合素质评价细则》计算学生综合素质评价结果，并在学生工作办公系统进行最终公示。</w:t>
      </w:r>
    </w:p>
    <w:p>
      <w:pPr>
        <w:pStyle w:val="10"/>
      </w:pPr>
      <w:r>
        <w:rPr>
          <w:rFonts w:hint="eastAsia"/>
        </w:rPr>
        <w:t>（四）学生综合素质评价结果公示期为7个自然日，公示期间如有异议，学务部负责复查。公示期满，结果不再更改。</w:t>
      </w:r>
    </w:p>
    <w:p>
      <w:pPr>
        <w:pStyle w:val="7"/>
        <w:rPr>
          <w:rFonts w:hint="eastAsia"/>
        </w:rPr>
      </w:pPr>
      <w:r>
        <w:rPr>
          <w:rFonts w:hint="eastAsia"/>
        </w:rPr>
        <w:t>五、附则</w:t>
      </w:r>
    </w:p>
    <w:p>
      <w:pPr>
        <w:pStyle w:val="10"/>
      </w:pPr>
      <w:r>
        <w:rPr>
          <w:rFonts w:hint="eastAsia"/>
        </w:rPr>
        <w:t>（一）本办法自颁布之日起执行。其他未尽事宜，由学务部负责解释。</w:t>
      </w:r>
    </w:p>
    <w:p>
      <w:pPr>
        <w:pStyle w:val="10"/>
      </w:pPr>
      <w:r>
        <w:rPr>
          <w:rFonts w:hint="eastAsia"/>
        </w:rPr>
        <w:t>（二）此前有关综合素质测评的规定与本规定不符的，均以本办法为准。</w:t>
      </w:r>
    </w:p>
    <w:p>
      <w:pPr>
        <w:pStyle w:val="10"/>
      </w:pPr>
    </w:p>
    <w:p>
      <w:pPr>
        <w:pStyle w:val="10"/>
      </w:pPr>
      <w:r>
        <w:rPr>
          <w:rFonts w:hint="eastAsia"/>
        </w:rPr>
        <w:t>附件：新乡医学院三全学院学生综合素质评价细则</w:t>
      </w:r>
    </w:p>
    <w:p>
      <w:pPr>
        <w:pStyle w:val="11"/>
      </w:pPr>
    </w:p>
    <w:p>
      <w:pPr>
        <w:pStyle w:val="11"/>
      </w:pPr>
      <w:r>
        <w:rPr>
          <w:rFonts w:hint="eastAsia"/>
        </w:rPr>
        <w:t xml:space="preserve">2017年12月13日        </w:t>
      </w:r>
    </w:p>
    <w:p>
      <w:pPr>
        <w:widowControl/>
        <w:jc w:val="left"/>
        <w:rPr>
          <w:rFonts w:ascii="黑体" w:hAnsi="黑体" w:eastAsia="黑体"/>
          <w:sz w:val="32"/>
          <w:szCs w:val="32"/>
        </w:rPr>
      </w:pPr>
      <w:r>
        <w:rPr>
          <w:rFonts w:ascii="仿宋_GB2312" w:eastAsia="仿宋_GB2312"/>
          <w:sz w:val="28"/>
          <w:szCs w:val="32"/>
        </w:rPr>
        <w:br w:type="page"/>
      </w:r>
      <w:r>
        <w:rPr>
          <w:rFonts w:hint="eastAsia" w:ascii="黑体" w:hAnsi="黑体" w:eastAsia="黑体"/>
          <w:sz w:val="32"/>
          <w:szCs w:val="32"/>
        </w:rPr>
        <w:t>附件</w:t>
      </w:r>
    </w:p>
    <w:p>
      <w:pPr>
        <w:jc w:val="center"/>
        <w:rPr>
          <w:rFonts w:ascii="方正小标宋简体" w:eastAsia="方正小标宋简体"/>
          <w:sz w:val="44"/>
          <w:szCs w:val="44"/>
        </w:rPr>
      </w:pPr>
      <w:r>
        <w:rPr>
          <w:rFonts w:hint="eastAsia" w:ascii="方正小标宋简体" w:eastAsia="方正小标宋简体"/>
          <w:sz w:val="44"/>
          <w:szCs w:val="44"/>
        </w:rPr>
        <w:t>新乡医学院三全学院学生综合素质评价细则</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学生综合素质评价（C）实行量化考评，满分为100分，其中知识素养（A）占80%，能力素养（B）占20%。</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学生综合素质评价成绩（C）的计算公式为：</w:t>
      </w:r>
    </w:p>
    <w:p>
      <w:pPr>
        <w:ind w:firstLine="640" w:firstLineChars="200"/>
        <w:rPr>
          <w:rFonts w:ascii="仿宋_GB2312" w:hAnsi="黑体" w:eastAsia="仿宋_GB2312" w:cs="黑体"/>
          <w:sz w:val="32"/>
          <w:szCs w:val="32"/>
        </w:rPr>
      </w:pPr>
      <w:r>
        <w:rPr>
          <w:rFonts w:hint="eastAsia" w:ascii="仿宋_GB2312" w:hAnsi="黑体" w:eastAsia="仿宋_GB2312" w:cs="黑体"/>
          <w:sz w:val="32"/>
          <w:szCs w:val="32"/>
        </w:rPr>
        <w:t>C=A×80%+B×20%</w:t>
      </w:r>
    </w:p>
    <w:p>
      <w:pPr>
        <w:pStyle w:val="7"/>
      </w:pPr>
      <w:r>
        <w:rPr>
          <w:rFonts w:hint="eastAsia"/>
        </w:rPr>
        <w:t>一、能力素养平均量化成绩</w:t>
      </w:r>
    </w:p>
    <w:p>
      <w:pPr>
        <w:pStyle w:val="10"/>
      </w:pPr>
      <w:r>
        <w:rPr>
          <w:rFonts w:hint="eastAsia"/>
        </w:rPr>
        <w:t>能力素养各项目的赋分成绩由相关部门提供，</w:t>
      </w:r>
      <w:r>
        <w:t>各书院按照</w:t>
      </w:r>
      <w:r>
        <w:rPr>
          <w:rFonts w:hint="eastAsia"/>
        </w:rPr>
        <w:t>学务部</w:t>
      </w:r>
      <w:r>
        <w:t>模版计算。</w:t>
      </w:r>
    </w:p>
    <w:p>
      <w:pPr>
        <w:pStyle w:val="10"/>
      </w:pPr>
      <w:r>
        <w:rPr>
          <w:rFonts w:hint="eastAsia"/>
        </w:rPr>
        <w:t>能力素养平均量化成绩（B）计算方法如下：</w:t>
      </w:r>
    </w:p>
    <w:p>
      <w:pPr>
        <w:ind w:firstLine="2400" w:firstLineChars="500"/>
        <w:rPr>
          <w:rFonts w:ascii="宋体" w:hAnsi="宋体"/>
          <w:sz w:val="48"/>
        </w:rPr>
      </w:pPr>
      <w:r>
        <w:rPr>
          <w:rFonts w:hint="eastAsia" w:ascii="宋体" w:hAnsi="宋体"/>
          <w:sz w:val="48"/>
        </w:rPr>
        <w:sym w:font="Symbol" w:char="F060"/>
      </w:r>
      <w:r>
        <w:rPr>
          <w:rFonts w:hint="eastAsia" w:ascii="宋体" w:hAnsi="宋体"/>
          <w:sz w:val="48"/>
        </w:rPr>
        <w:t>W=</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923925" cy="400050"/>
            <wp:effectExtent l="0" t="0" r="9525" b="0"/>
            <wp:docPr id="38"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67"/>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923925" cy="400050"/>
            <wp:effectExtent l="0" t="0" r="9525" b="0"/>
            <wp:docPr id="37"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6"/>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fldChar w:fldCharType="end"/>
      </w:r>
      <w:r>
        <w:rPr>
          <w:rFonts w:hint="eastAsia" w:ascii="宋体" w:hAnsi="宋体"/>
          <w:sz w:val="48"/>
        </w:rPr>
        <w:t>÷</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657225" cy="400050"/>
            <wp:effectExtent l="0" t="0" r="9525" b="0"/>
            <wp:docPr id="36"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5"/>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657225" cy="400050"/>
            <wp:effectExtent l="0" t="0" r="9525" b="0"/>
            <wp:docPr id="35"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4"/>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fldChar w:fldCharType="end"/>
      </w:r>
    </w:p>
    <w:p>
      <w:pPr>
        <w:pStyle w:val="9"/>
      </w:pPr>
      <w:r>
        <w:rPr>
          <w:rFonts w:hint="eastAsia"/>
        </w:rPr>
        <w:t>（一）社会服务能力成绩及赋分</w:t>
      </w:r>
    </w:p>
    <w:p>
      <w:pPr>
        <w:pStyle w:val="10"/>
      </w:pPr>
      <w:r>
        <w:rPr>
          <w:rFonts w:hint="eastAsia"/>
        </w:rPr>
        <w:t>社会服务能力成绩是指学生在测评学年内，根据其德行表现，</w:t>
      </w:r>
      <w:r>
        <w:rPr>
          <w:rFonts w:hint="eastAsia"/>
          <w:spacing w:val="-6"/>
        </w:rPr>
        <w:t>参加志愿服务情况，担任学生职务情况，及特殊贡献所获得的成绩。</w:t>
      </w:r>
    </w:p>
    <w:p>
      <w:pPr>
        <w:pStyle w:val="10"/>
      </w:pPr>
      <w:r>
        <w:rPr>
          <w:rFonts w:hint="eastAsia"/>
        </w:rPr>
        <w:t>1.德行表现及成绩计算</w:t>
      </w:r>
    </w:p>
    <w:p>
      <w:pPr>
        <w:pStyle w:val="10"/>
      </w:pPr>
      <w:r>
        <w:rPr>
          <w:rFonts w:hint="eastAsia"/>
        </w:rPr>
        <w:t>德行表现是指学生在学习期间没有受到任何违反国家法律、法规以及校纪校规处分，一学年无旷课、旷会、迟到、早退及无缺席教学活动和集体活动（教学活动和集体活动包括上课、见实习、查寝以及学院、书院、班级组织的其他集体活动）。若学生在测评学年有触犯国家法律、违犯学校规章制度等违法违纪行为，由学务部根据实际情况，说明减分原因，经公示无异议后可计入综合测评。赋分分值详见下表。</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6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违纪行为</w:t>
            </w:r>
          </w:p>
        </w:tc>
        <w:tc>
          <w:tcPr>
            <w:tcW w:w="1807"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德行表现</w:t>
            </w: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触犯国家法律，构成刑事犯罪被追究刑事责任者</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受到学校留校察看处分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记过处分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严重警告处分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警告处分</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受到校、院通报批评的</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84" w:type="dxa"/>
            <w:vMerge w:val="continue"/>
            <w:vAlign w:val="center"/>
          </w:tcPr>
          <w:p>
            <w:pPr>
              <w:widowControl/>
              <w:jc w:val="center"/>
              <w:rPr>
                <w:rFonts w:ascii="仿宋_GB2312" w:hAnsi="宋体" w:eastAsia="仿宋_GB2312" w:cs="宋体"/>
                <w:kern w:val="0"/>
                <w:szCs w:val="21"/>
              </w:rPr>
            </w:pPr>
          </w:p>
        </w:tc>
        <w:tc>
          <w:tcPr>
            <w:tcW w:w="6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上课迟到、旷课、早退、玩手机</w:t>
            </w:r>
          </w:p>
        </w:tc>
        <w:tc>
          <w:tcPr>
            <w:tcW w:w="1807" w:type="dxa"/>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bl>
    <w:p>
      <w:pPr>
        <w:pStyle w:val="10"/>
      </w:pPr>
      <w:r>
        <w:rPr>
          <w:rFonts w:hint="eastAsia"/>
        </w:rPr>
        <w:t>2.志愿服务</w:t>
      </w:r>
    </w:p>
    <w:p>
      <w:pPr>
        <w:pStyle w:val="10"/>
      </w:pPr>
      <w:r>
        <w:rPr>
          <w:rFonts w:hint="eastAsia"/>
        </w:rPr>
        <w:t>学生积极参加学校志愿服务并满足对应学年的时长要求。</w:t>
      </w:r>
    </w:p>
    <w:tbl>
      <w:tblPr>
        <w:tblStyle w:val="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441"/>
        <w:gridCol w:w="1441"/>
        <w:gridCol w:w="1441"/>
        <w:gridCol w:w="1441"/>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2033" w:type="dxa"/>
            <w:tcBorders>
              <w:tl2br w:val="single" w:color="auto" w:sz="4" w:space="0"/>
            </w:tcBorders>
          </w:tcPr>
          <w:p>
            <w:pPr>
              <w:adjustRightInd w:val="0"/>
              <w:snapToGrid w:val="0"/>
              <w:ind w:firstLine="525" w:firstLineChars="250"/>
              <w:rPr>
                <w:rFonts w:ascii="仿宋_GB2312" w:eastAsia="仿宋_GB2312" w:cs="Calibri"/>
                <w:szCs w:val="21"/>
              </w:rPr>
            </w:pPr>
            <w:r>
              <w:rPr>
                <w:rFonts w:hint="eastAsia" w:ascii="仿宋_GB2312" w:eastAsia="仿宋_GB2312" w:cs="Calibri"/>
                <w:szCs w:val="21"/>
              </w:rPr>
              <w:t xml:space="preserve">学年          </w:t>
            </w:r>
          </w:p>
          <w:p>
            <w:pPr>
              <w:adjustRightInd w:val="0"/>
              <w:rPr>
                <w:rFonts w:ascii="仿宋_GB2312" w:eastAsia="仿宋_GB2312" w:cs="Calibri"/>
                <w:szCs w:val="21"/>
              </w:rPr>
            </w:pPr>
            <w:r>
              <w:rPr>
                <w:rFonts w:hint="eastAsia" w:ascii="仿宋_GB2312" w:eastAsia="仿宋_GB2312" w:cs="Calibri"/>
                <w:szCs w:val="21"/>
              </w:rPr>
              <w:t>学制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第一学年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第二学年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第三学年</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第四学年</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第五学年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五年制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四年制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三年制专升本</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两年制专升本</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3" w:type="dxa"/>
            <w:vAlign w:val="center"/>
          </w:tcPr>
          <w:p>
            <w:pPr>
              <w:adjustRightInd w:val="0"/>
              <w:jc w:val="center"/>
              <w:rPr>
                <w:rFonts w:ascii="仿宋_GB2312" w:eastAsia="仿宋_GB2312" w:cs="Calibri"/>
                <w:szCs w:val="21"/>
              </w:rPr>
            </w:pPr>
            <w:r>
              <w:rPr>
                <w:rFonts w:hint="eastAsia" w:ascii="仿宋_GB2312" w:eastAsia="仿宋_GB2312" w:cs="Calibri"/>
                <w:szCs w:val="21"/>
              </w:rPr>
              <w:t>专科</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10小时</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1"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c>
          <w:tcPr>
            <w:tcW w:w="1445" w:type="dxa"/>
            <w:vAlign w:val="center"/>
          </w:tcPr>
          <w:p>
            <w:pPr>
              <w:adjustRightInd w:val="0"/>
              <w:jc w:val="center"/>
              <w:rPr>
                <w:rFonts w:ascii="仿宋_GB2312" w:eastAsia="仿宋_GB2312" w:cs="Calibri"/>
                <w:szCs w:val="21"/>
              </w:rPr>
            </w:pPr>
            <w:r>
              <w:rPr>
                <w:rFonts w:hint="eastAsia" w:ascii="仿宋_GB2312" w:eastAsia="仿宋_GB2312" w:cs="Calibr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6"/>
            <w:vAlign w:val="center"/>
          </w:tcPr>
          <w:p>
            <w:pPr>
              <w:adjustRightInd w:val="0"/>
              <w:jc w:val="left"/>
              <w:rPr>
                <w:rFonts w:ascii="仿宋_GB2312" w:eastAsia="仿宋_GB2312" w:cs="Calibri"/>
                <w:szCs w:val="21"/>
              </w:rPr>
            </w:pPr>
            <w:r>
              <w:rPr>
                <w:rFonts w:hint="eastAsia" w:ascii="仿宋_GB2312" w:eastAsia="仿宋_GB2312" w:cs="Calibri"/>
                <w:szCs w:val="21"/>
              </w:rPr>
              <w:t>备注：每年至少完成以上时长要求，如超额完成，则作为评优评先的评选指标。</w:t>
            </w:r>
          </w:p>
        </w:tc>
      </w:tr>
    </w:tbl>
    <w:p>
      <w:pPr>
        <w:pStyle w:val="10"/>
      </w:pPr>
      <w:r>
        <w:rPr>
          <w:rFonts w:hint="eastAsia"/>
        </w:rPr>
        <w:t>3.学生社会职务成绩</w:t>
      </w:r>
    </w:p>
    <w:p>
      <w:pPr>
        <w:pStyle w:val="10"/>
      </w:pPr>
      <w:r>
        <w:rPr>
          <w:rFonts w:hint="eastAsia"/>
        </w:rPr>
        <w:t>本项目按照固定赋分的方式，学生社会职务成绩根据用人部门评价计算得到。具有多个职务的学生按最高职务加分，不予累计。</w:t>
      </w:r>
    </w:p>
    <w:p>
      <w:pPr>
        <w:pStyle w:val="10"/>
      </w:pPr>
      <w:r>
        <w:rPr>
          <w:rFonts w:hint="eastAsia"/>
        </w:rPr>
        <w:t>学生干部职务成绩=学生干部考核量化成绩</w:t>
      </w:r>
      <w:r>
        <w:rPr>
          <w:rFonts w:hint="eastAsia" w:hAnsi="宋体" w:cs="仿宋_GB2312"/>
          <w:bCs/>
        </w:rPr>
        <w:t>÷</w:t>
      </w:r>
      <w:r>
        <w:rPr>
          <w:rFonts w:hint="eastAsia"/>
        </w:rPr>
        <w:t>20+职务基础分值</w:t>
      </w:r>
    </w:p>
    <w:p>
      <w:pPr>
        <w:pStyle w:val="10"/>
      </w:pPr>
      <w:r>
        <w:rPr>
          <w:rFonts w:hint="eastAsia"/>
        </w:rPr>
        <w:t>学生干部考核量化成绩参照学校学生会干部考核相关办法及《新乡医学院三全学院学生助理管理办法》（院学〔2017〕13号）。</w:t>
      </w:r>
    </w:p>
    <w:p>
      <w:pPr>
        <w:pStyle w:val="10"/>
      </w:pPr>
      <w:r>
        <w:rPr>
          <w:rFonts w:hint="eastAsia"/>
        </w:rPr>
        <w:t>学生社会职务赋分=3</w:t>
      </w:r>
      <w:bookmarkStart w:id="2" w:name="_GoBack"/>
      <w:bookmarkEnd w:id="2"/>
    </w:p>
    <w:p>
      <w:pPr>
        <w:pStyle w:val="10"/>
        <w:ind w:firstLine="616"/>
      </w:pPr>
      <w:r>
        <w:rPr>
          <w:rFonts w:hint="eastAsia"/>
          <w:spacing w:val="-6"/>
        </w:rPr>
        <w:t>由团学组织管理中心和思想政治教育中心统一测评计算和公示</w:t>
      </w:r>
      <w:r>
        <w:rPr>
          <w:rFonts w:hint="eastAsia"/>
        </w:rPr>
        <w:t>。</w:t>
      </w:r>
    </w:p>
    <w:p/>
    <w:tbl>
      <w:tblPr>
        <w:tblStyle w:val="5"/>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343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项目等级</w:t>
            </w:r>
          </w:p>
        </w:tc>
        <w:tc>
          <w:tcPr>
            <w:tcW w:w="3436"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项目内容</w:t>
            </w:r>
          </w:p>
        </w:tc>
        <w:tc>
          <w:tcPr>
            <w:tcW w:w="274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职务基础分值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校学生会部长、副部长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校社团联合会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二级机构</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学生助理</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w:t>
            </w: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书院学生分会主席团</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书院学生分会部长、副部长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大班班委</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小班班长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小班其他班委</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层长</w:t>
            </w:r>
          </w:p>
        </w:tc>
        <w:tc>
          <w:tcPr>
            <w:tcW w:w="2742"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2742" w:type="dxa"/>
            <w:vMerge w:val="continue"/>
            <w:vAlign w:val="center"/>
          </w:tcPr>
          <w:p>
            <w:pPr>
              <w:widowControl/>
              <w:jc w:val="left"/>
              <w:rPr>
                <w:rFonts w:ascii="仿宋_GB2312" w:hAnsi="宋体" w:eastAsia="仿宋_GB2312" w:cs="宋体"/>
                <w:kern w:val="0"/>
                <w:szCs w:val="21"/>
              </w:rPr>
            </w:pPr>
          </w:p>
        </w:tc>
        <w:tc>
          <w:tcPr>
            <w:tcW w:w="3436"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寝室长</w:t>
            </w:r>
          </w:p>
        </w:tc>
        <w:tc>
          <w:tcPr>
            <w:tcW w:w="2742"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艺术团</w:t>
            </w:r>
            <w:r>
              <w:rPr>
                <w:rFonts w:ascii="仿宋_GB2312" w:hAnsi="宋体" w:eastAsia="仿宋_GB2312" w:cs="宋体"/>
                <w:kern w:val="0"/>
                <w:szCs w:val="21"/>
              </w:rPr>
              <w:t>团长、团支书</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艺术团各队长</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社团</w:t>
            </w:r>
            <w:r>
              <w:rPr>
                <w:rFonts w:ascii="仿宋_GB2312" w:hAnsi="宋体" w:eastAsia="仿宋_GB2312" w:cs="宋体"/>
                <w:kern w:val="0"/>
                <w:szCs w:val="21"/>
              </w:rPr>
              <w:t>会长、团支</w:t>
            </w:r>
            <w:r>
              <w:rPr>
                <w:rFonts w:hint="eastAsia" w:ascii="仿宋_GB2312" w:hAnsi="宋体" w:eastAsia="仿宋_GB2312" w:cs="宋体"/>
                <w:kern w:val="0"/>
                <w:szCs w:val="21"/>
              </w:rPr>
              <w:t>书</w:t>
            </w:r>
          </w:p>
        </w:tc>
        <w:tc>
          <w:tcPr>
            <w:tcW w:w="2742" w:type="dxa"/>
            <w:vAlign w:val="center"/>
          </w:tcPr>
          <w:p>
            <w:pPr>
              <w:widowControl/>
              <w:rPr>
                <w:rFonts w:ascii="仿宋_GB2312" w:hAnsi="宋体" w:eastAsia="仿宋_GB2312" w:cs="宋体"/>
                <w:kern w:val="0"/>
                <w:szCs w:val="21"/>
              </w:rPr>
            </w:pPr>
            <w:r>
              <w:rPr>
                <w:rFonts w:ascii="仿宋_GB2312" w:hAnsi="宋体" w:eastAsia="仿宋_GB2312" w:cs="宋体"/>
                <w:kern w:val="0"/>
                <w:szCs w:val="21"/>
              </w:rPr>
              <w:t xml:space="preserve">          </w:t>
            </w:r>
            <w:r>
              <w:rPr>
                <w:rFonts w:hint="eastAsia" w:ascii="仿宋_GB2312" w:hAnsi="宋体" w:eastAsia="仿宋_GB2312" w:cs="宋体"/>
                <w:kern w:val="0"/>
                <w:szCs w:val="21"/>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6178" w:type="dxa"/>
            <w:gridSpan w:val="2"/>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无职务</w:t>
            </w:r>
          </w:p>
        </w:tc>
        <w:tc>
          <w:tcPr>
            <w:tcW w:w="274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60</w:t>
            </w:r>
          </w:p>
        </w:tc>
      </w:tr>
    </w:tbl>
    <w:p>
      <w:pPr>
        <w:pStyle w:val="10"/>
      </w:pPr>
      <w:r>
        <w:rPr>
          <w:rFonts w:hint="eastAsia"/>
        </w:rPr>
        <w:t>4.特殊贡献</w:t>
      </w:r>
    </w:p>
    <w:p>
      <w:pPr>
        <w:pStyle w:val="10"/>
      </w:pPr>
      <w:r>
        <w:rPr>
          <w:rFonts w:hint="eastAsia"/>
        </w:rPr>
        <w:t>特殊贡献是指学生在测评学年为学校做出了突出贡献，但因奖项设置变动或其它因素而未能量化的测评指标,由学务部根据实际情况，说明加分原因，经公示无异议后可计入综合测评。不累计赋分，赋分分值详见下表。</w:t>
      </w:r>
    </w:p>
    <w:tbl>
      <w:tblPr>
        <w:tblStyle w:val="5"/>
        <w:tblW w:w="9286" w:type="dxa"/>
        <w:tblInd w:w="0" w:type="dxa"/>
        <w:tblLayout w:type="fixed"/>
        <w:tblCellMar>
          <w:top w:w="0" w:type="dxa"/>
          <w:left w:w="108" w:type="dxa"/>
          <w:bottom w:w="0" w:type="dxa"/>
          <w:right w:w="108" w:type="dxa"/>
        </w:tblCellMar>
      </w:tblPr>
      <w:tblGrid>
        <w:gridCol w:w="3096"/>
        <w:gridCol w:w="3096"/>
        <w:gridCol w:w="3094"/>
      </w:tblGrid>
      <w:tr>
        <w:tblPrEx>
          <w:tblLayout w:type="fixed"/>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赋分原因</w:t>
            </w:r>
          </w:p>
        </w:tc>
        <w:tc>
          <w:tcPr>
            <w:tcW w:w="3096" w:type="dxa"/>
            <w:tcBorders>
              <w:top w:val="single" w:color="auto" w:sz="4" w:space="0"/>
              <w:left w:val="nil"/>
              <w:bottom w:val="single" w:color="auto" w:sz="4" w:space="0"/>
              <w:right w:val="single" w:color="auto" w:sz="4" w:space="0"/>
            </w:tcBorders>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提供部门</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Layout w:type="fixed"/>
          <w:tblCellMar>
            <w:top w:w="0" w:type="dxa"/>
            <w:left w:w="108" w:type="dxa"/>
            <w:bottom w:w="0" w:type="dxa"/>
            <w:right w:w="108" w:type="dxa"/>
          </w:tblCellMar>
        </w:tblPrEx>
        <w:trPr>
          <w:trHeight w:val="270" w:hRule="atLeast"/>
        </w:trPr>
        <w:tc>
          <w:tcPr>
            <w:tcW w:w="3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该生的优秀事迹（遵章守纪，具有良好的道德修养和生活行为习惯，具有见义勇为，拾金不昧等行为）</w:t>
            </w:r>
          </w:p>
        </w:tc>
        <w:tc>
          <w:tcPr>
            <w:tcW w:w="309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书院</w:t>
            </w:r>
          </w:p>
        </w:tc>
        <w:tc>
          <w:tcPr>
            <w:tcW w:w="30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0-3</w:t>
            </w:r>
          </w:p>
        </w:tc>
      </w:tr>
    </w:tbl>
    <w:p>
      <w:pPr>
        <w:pStyle w:val="9"/>
      </w:pPr>
      <w:r>
        <w:rPr>
          <w:rFonts w:hint="eastAsia"/>
        </w:rPr>
        <w:t>（二）创新实践能力成绩及赋分</w:t>
      </w:r>
    </w:p>
    <w:p>
      <w:pPr>
        <w:pStyle w:val="10"/>
      </w:pPr>
      <w:r>
        <w:rPr>
          <w:rFonts w:hint="eastAsia"/>
        </w:rPr>
        <w:t>创新实践能力成绩按照可变赋分的方式，根据各中心提供的数据计算得到。</w:t>
      </w:r>
    </w:p>
    <w:p>
      <w:pPr>
        <w:pStyle w:val="10"/>
      </w:pPr>
      <w:r>
        <w:rPr>
          <w:rFonts w:hint="eastAsia"/>
        </w:rPr>
        <w:t>创新实践能力成绩=100</w:t>
      </w:r>
    </w:p>
    <w:p>
      <w:pPr>
        <w:pStyle w:val="10"/>
      </w:pPr>
      <w:r>
        <w:rPr>
          <w:rFonts w:hint="eastAsia"/>
        </w:rPr>
        <w:t>创新实践能力赋分=项目1赋分+项目2赋分+项目3赋分……</w:t>
      </w:r>
    </w:p>
    <w:p>
      <w:pPr>
        <w:pStyle w:val="10"/>
      </w:pPr>
      <w:r>
        <w:rPr>
          <w:rFonts w:hint="eastAsia"/>
        </w:rPr>
        <w:t>1.竞赛类创新实践活动</w:t>
      </w:r>
    </w:p>
    <w:p>
      <w:pPr>
        <w:pStyle w:val="10"/>
        <w:rPr>
          <w:color w:val="C00000"/>
        </w:rPr>
      </w:pPr>
      <w:r>
        <w:rPr>
          <w:rFonts w:hint="eastAsia"/>
        </w:rPr>
        <w:t>学生参加学科竞赛、文体竞赛、科学研究、科技学术等活动，并取得相应奖项或通过鉴定的荣誉或成果,根据测评学年的次数累计赋分。书院根据职能部门、院（系、部）和书院的初审结果进行测评。</w:t>
      </w:r>
    </w:p>
    <w:tbl>
      <w:tblPr>
        <w:tblStyle w:val="5"/>
        <w:tblW w:w="9286" w:type="dxa"/>
        <w:tblInd w:w="0" w:type="dxa"/>
        <w:tblLayout w:type="fixed"/>
        <w:tblCellMar>
          <w:top w:w="0" w:type="dxa"/>
          <w:left w:w="108" w:type="dxa"/>
          <w:bottom w:w="0" w:type="dxa"/>
          <w:right w:w="108" w:type="dxa"/>
        </w:tblCellMar>
      </w:tblPr>
      <w:tblGrid>
        <w:gridCol w:w="1326"/>
        <w:gridCol w:w="1328"/>
        <w:gridCol w:w="1326"/>
        <w:gridCol w:w="1328"/>
        <w:gridCol w:w="1326"/>
        <w:gridCol w:w="1328"/>
        <w:gridCol w:w="1324"/>
      </w:tblGrid>
      <w:tr>
        <w:tblPrEx>
          <w:tblLayout w:type="fixed"/>
          <w:tblCellMar>
            <w:top w:w="0" w:type="dxa"/>
            <w:left w:w="108" w:type="dxa"/>
            <w:bottom w:w="0" w:type="dxa"/>
            <w:right w:w="108" w:type="dxa"/>
          </w:tblCellMar>
        </w:tblPrEx>
        <w:trPr>
          <w:trHeight w:val="270" w:hRule="atLeast"/>
        </w:trPr>
        <w:tc>
          <w:tcPr>
            <w:tcW w:w="1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级别</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132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13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132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其它奖</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集体带头人竞赛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集体成员竞赛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1.35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0.85</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0.05</w:t>
            </w:r>
          </w:p>
        </w:tc>
      </w:tr>
      <w:tr>
        <w:tblPrEx>
          <w:tblLayout w:type="fixed"/>
          <w:tblCellMar>
            <w:top w:w="0" w:type="dxa"/>
            <w:left w:w="108" w:type="dxa"/>
            <w:bottom w:w="0" w:type="dxa"/>
            <w:right w:w="108" w:type="dxa"/>
          </w:tblCellMar>
        </w:tblPrEx>
        <w:trPr>
          <w:trHeight w:val="270" w:hRule="atLeast"/>
        </w:trPr>
        <w:tc>
          <w:tcPr>
            <w:tcW w:w="132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个人竞赛</w:t>
            </w: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9.2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7.2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6.2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5.2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4.2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3.2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2.2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1.7</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1.4</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0.7</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0.8</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Layout w:type="fixed"/>
          <w:tblCellMar>
            <w:top w:w="0" w:type="dxa"/>
            <w:left w:w="108" w:type="dxa"/>
            <w:bottom w:w="0" w:type="dxa"/>
            <w:right w:w="108" w:type="dxa"/>
          </w:tblCellMar>
        </w:tblPrEx>
        <w:trPr>
          <w:trHeight w:val="270" w:hRule="atLeast"/>
        </w:trPr>
        <w:tc>
          <w:tcPr>
            <w:tcW w:w="1326"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132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c>
          <w:tcPr>
            <w:tcW w:w="1326"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0.3</w:t>
            </w:r>
          </w:p>
        </w:tc>
        <w:tc>
          <w:tcPr>
            <w:tcW w:w="1328"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c>
          <w:tcPr>
            <w:tcW w:w="1324" w:type="dxa"/>
            <w:tcBorders>
              <w:top w:val="nil"/>
              <w:left w:val="nil"/>
              <w:bottom w:val="single" w:color="auto" w:sz="4" w:space="0"/>
              <w:right w:val="single" w:color="auto" w:sz="4" w:space="0"/>
            </w:tcBorders>
          </w:tcPr>
          <w:p>
            <w:pPr>
              <w:widowControl/>
              <w:jc w:val="center"/>
              <w:rPr>
                <w:rFonts w:ascii="仿宋_GB2312" w:hAnsi="宋体" w:eastAsia="仿宋_GB2312" w:cs="宋体"/>
                <w:kern w:val="0"/>
                <w:szCs w:val="21"/>
              </w:rPr>
            </w:pPr>
            <w:r>
              <w:rPr>
                <w:rFonts w:ascii="仿宋_GB2312" w:hAnsi="宋体" w:eastAsia="仿宋_GB2312" w:cs="宋体"/>
                <w:kern w:val="0"/>
                <w:szCs w:val="21"/>
              </w:rPr>
              <w:t>0.1</w:t>
            </w:r>
          </w:p>
        </w:tc>
      </w:tr>
    </w:tbl>
    <w:p>
      <w:pPr>
        <w:pStyle w:val="10"/>
      </w:pPr>
      <w:r>
        <w:rPr>
          <w:rFonts w:hint="eastAsia"/>
        </w:rPr>
        <w:t>2.荣誉类创新实践活动</w:t>
      </w:r>
    </w:p>
    <w:p>
      <w:pPr>
        <w:pStyle w:val="10"/>
      </w:pPr>
      <w:r>
        <w:rPr>
          <w:rFonts w:hint="eastAsia"/>
        </w:rPr>
        <w:t>学生在测评学年取得突出成绩受到表彰的综合性的先进集体（先进班集体、文明班级、五好团支部、社会实践优秀团队等）、先进个人（三好学生、文明学生、优秀学生干部、优秀团员、优秀团干部、社会实践先进个人等）。根据测评学年的次数累计赋分。书院根据职能部门、院（系、部）和书院的初审结果进行测评。</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3095"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级别</w:t>
            </w:r>
          </w:p>
        </w:tc>
        <w:tc>
          <w:tcPr>
            <w:tcW w:w="3096"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集体带头人荣誉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集体成员荣誉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个人荣誉</w:t>
            </w: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国际级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095" w:type="dxa"/>
            <w:vMerge w:val="continue"/>
            <w:vAlign w:val="center"/>
          </w:tcPr>
          <w:p>
            <w:pPr>
              <w:widowControl/>
              <w:jc w:val="left"/>
              <w:rPr>
                <w:rFonts w:ascii="仿宋_GB2312" w:hAnsi="宋体" w:eastAsia="仿宋_GB2312" w:cs="宋体"/>
                <w:kern w:val="0"/>
                <w:szCs w:val="21"/>
              </w:rPr>
            </w:pPr>
          </w:p>
        </w:tc>
        <w:tc>
          <w:tcPr>
            <w:tcW w:w="3095"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其它</w:t>
            </w:r>
          </w:p>
        </w:tc>
        <w:tc>
          <w:tcPr>
            <w:tcW w:w="3096" w:type="dxa"/>
          </w:tcPr>
          <w:p>
            <w:pPr>
              <w:widowControl/>
              <w:jc w:val="center"/>
              <w:rPr>
                <w:rFonts w:ascii="仿宋_GB2312" w:hAnsi="宋体" w:eastAsia="仿宋_GB2312" w:cs="宋体"/>
                <w:kern w:val="0"/>
                <w:szCs w:val="21"/>
              </w:rPr>
            </w:pPr>
            <w:r>
              <w:rPr>
                <w:rFonts w:ascii="仿宋_GB2312" w:hAnsi="宋体" w:eastAsia="仿宋_GB2312" w:cs="宋体"/>
                <w:kern w:val="0"/>
                <w:szCs w:val="21"/>
              </w:rPr>
              <w:t>0.4</w:t>
            </w:r>
          </w:p>
        </w:tc>
      </w:tr>
    </w:tbl>
    <w:p>
      <w:pPr>
        <w:pStyle w:val="9"/>
      </w:pPr>
      <w:r>
        <w:rPr>
          <w:rFonts w:hint="eastAsia"/>
        </w:rPr>
        <w:t>3.学术类创新实践活动</w:t>
      </w:r>
    </w:p>
    <w:p>
      <w:pPr>
        <w:pStyle w:val="10"/>
      </w:pPr>
      <w:r>
        <w:rPr>
          <w:rFonts w:hint="eastAsia"/>
        </w:rPr>
        <w:t>出版著作是指以新乡医学院三全学院为第一单位公开出版学术、文学、艺术等著作。不同著作可累加计分，合著者按作者实际承担的工作量计分。</w:t>
      </w:r>
    </w:p>
    <w:p>
      <w:pPr>
        <w:pStyle w:val="10"/>
      </w:pPr>
      <w:r>
        <w:rPr>
          <w:rFonts w:hint="eastAsia"/>
        </w:rPr>
        <w:t>发表学术论文是指以新乡医学院三全学院为第一单位发表科技学术论文。所有论文加分应有出版刊物或录用通知证明，不同论文按篇数累加计分；被转载的论文按转载最高级刊物计分；集体合作论文前两名作者按相应项计满分，其他作者按相应项减半计分。刊物级别由学校按国家有关规定认定。</w:t>
      </w:r>
    </w:p>
    <w:p>
      <w:pPr>
        <w:pStyle w:val="10"/>
      </w:pPr>
      <w:r>
        <w:rPr>
          <w:rFonts w:hint="eastAsia"/>
        </w:rPr>
        <w:t>出版著作及发表论文均根据测评学年的次数累计赋分。书院根据职能部门、院（系、部）和书院的初审结果进行测评。</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类别</w:t>
            </w:r>
          </w:p>
        </w:tc>
        <w:tc>
          <w:tcPr>
            <w:tcW w:w="2321"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等级</w:t>
            </w:r>
          </w:p>
        </w:tc>
        <w:tc>
          <w:tcPr>
            <w:tcW w:w="232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备注</w:t>
            </w:r>
          </w:p>
        </w:tc>
        <w:tc>
          <w:tcPr>
            <w:tcW w:w="2322" w:type="dxa"/>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学术著作</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文艺著作</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独著或主编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合著或参编</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十万字以下</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发表论文</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SCI、SSCI、EI、ISTP论文</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国家权威期刊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国家核心期刊</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公开发行的学术刊物</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出版的学术论文集</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合法的内部学术刊物</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restart"/>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报告与新闻短文</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地市级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Merge w:val="continue"/>
            <w:vAlign w:val="center"/>
          </w:tcPr>
          <w:p>
            <w:pPr>
              <w:widowControl/>
              <w:jc w:val="left"/>
              <w:rPr>
                <w:rFonts w:ascii="仿宋_GB2312" w:hAnsi="宋体" w:eastAsia="仿宋_GB2312" w:cs="宋体"/>
                <w:kern w:val="0"/>
                <w:szCs w:val="21"/>
              </w:rPr>
            </w:pP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校级</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获得国家专利项目</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获得各类学校认可的资格证书（四六级、计算机、普通话等）</w:t>
            </w:r>
          </w:p>
        </w:tc>
        <w:tc>
          <w:tcPr>
            <w:tcW w:w="2321"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2322" w:type="dxa"/>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r>
    </w:tbl>
    <w:p>
      <w:pPr>
        <w:pStyle w:val="7"/>
      </w:pPr>
      <w:r>
        <w:rPr>
          <w:rFonts w:hint="eastAsia"/>
        </w:rPr>
        <w:t>二、知识素养平均量化成绩</w:t>
      </w:r>
    </w:p>
    <w:p>
      <w:pPr>
        <w:pStyle w:val="10"/>
      </w:pPr>
      <w:r>
        <w:rPr>
          <w:rFonts w:hint="eastAsia"/>
        </w:rPr>
        <w:t>知识素养成绩及学分由教务部提供，</w:t>
      </w:r>
      <w:r>
        <w:t>各书院按照</w:t>
      </w:r>
      <w:r>
        <w:rPr>
          <w:rFonts w:hint="eastAsia"/>
        </w:rPr>
        <w:t>学务部</w:t>
      </w:r>
      <w:r>
        <w:t>模</w:t>
      </w:r>
      <w:r>
        <w:rPr>
          <w:rFonts w:hint="eastAsia"/>
        </w:rPr>
        <w:t>板</w:t>
      </w:r>
      <w:r>
        <w:t>计算及汇总，</w:t>
      </w:r>
      <w:r>
        <w:rPr>
          <w:rFonts w:hint="eastAsia"/>
        </w:rPr>
        <w:t>学务部对计算结果进行抽查与</w:t>
      </w:r>
      <w:r>
        <w:t>监督。</w:t>
      </w:r>
    </w:p>
    <w:p>
      <w:pPr>
        <w:pStyle w:val="10"/>
      </w:pPr>
      <w:r>
        <w:rPr>
          <w:rFonts w:hint="eastAsia"/>
        </w:rPr>
        <w:t>平均量化成绩（A）计算方法如下：</w:t>
      </w:r>
    </w:p>
    <w:p>
      <w:pPr>
        <w:ind w:firstLine="2400" w:firstLineChars="500"/>
        <w:rPr>
          <w:rFonts w:ascii="宋体" w:hAnsi="宋体"/>
          <w:sz w:val="48"/>
        </w:rPr>
      </w:pPr>
      <w:r>
        <w:rPr>
          <w:rFonts w:hint="eastAsia" w:ascii="宋体" w:hAnsi="宋体"/>
          <w:sz w:val="48"/>
        </w:rPr>
        <w:sym w:font="Symbol" w:char="F060"/>
      </w:r>
      <w:r>
        <w:rPr>
          <w:rFonts w:hint="eastAsia" w:ascii="宋体" w:hAnsi="宋体"/>
          <w:sz w:val="48"/>
        </w:rPr>
        <w:t>W=</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923925" cy="400050"/>
            <wp:effectExtent l="0" t="0" r="9525" b="0"/>
            <wp:docPr id="34"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6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923925" cy="400050"/>
            <wp:effectExtent l="0" t="0" r="9525" b="0"/>
            <wp:docPr id="33"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23925" cy="400050"/>
                    </a:xfrm>
                    <a:prstGeom prst="rect">
                      <a:avLst/>
                    </a:prstGeom>
                    <a:noFill/>
                    <a:ln>
                      <a:noFill/>
                    </a:ln>
                  </pic:spPr>
                </pic:pic>
              </a:graphicData>
            </a:graphic>
          </wp:inline>
        </w:drawing>
      </w:r>
      <w:r>
        <w:rPr>
          <w:rFonts w:ascii="宋体" w:hAnsi="宋体"/>
          <w:sz w:val="48"/>
        </w:rPr>
        <w:fldChar w:fldCharType="end"/>
      </w:r>
      <w:r>
        <w:rPr>
          <w:rFonts w:hint="eastAsia" w:ascii="宋体" w:hAnsi="宋体"/>
          <w:sz w:val="48"/>
        </w:rPr>
        <w:t>÷</w:t>
      </w:r>
      <w:r>
        <w:rPr>
          <w:rFonts w:ascii="宋体" w:hAnsi="宋体"/>
          <w:sz w:val="48"/>
        </w:rPr>
        <w:fldChar w:fldCharType="begin"/>
      </w:r>
      <w:r>
        <w:rPr>
          <w:rFonts w:ascii="宋体" w:hAnsi="宋体"/>
          <w:sz w:val="48"/>
        </w:rPr>
        <w:instrText xml:space="preserve"> QUOTE </w:instrText>
      </w:r>
      <w:r>
        <w:rPr>
          <w:rFonts w:hint="eastAsia"/>
          <w:position w:val="-14"/>
        </w:rPr>
        <w:drawing>
          <wp:inline distT="0" distB="0" distL="0" distR="0">
            <wp:extent cx="657225" cy="400050"/>
            <wp:effectExtent l="0" t="0" r="9525" b="0"/>
            <wp:docPr id="32"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instrText xml:space="preserve"> </w:instrText>
      </w:r>
      <w:r>
        <w:rPr>
          <w:rFonts w:ascii="宋体" w:hAnsi="宋体"/>
          <w:sz w:val="48"/>
        </w:rPr>
        <w:fldChar w:fldCharType="separate"/>
      </w:r>
      <w:r>
        <w:rPr>
          <w:rFonts w:hint="eastAsia"/>
          <w:position w:val="-14"/>
        </w:rPr>
        <w:drawing>
          <wp:inline distT="0" distB="0" distL="0" distR="0">
            <wp:extent cx="657225" cy="400050"/>
            <wp:effectExtent l="0" t="0" r="9525" b="0"/>
            <wp:docPr id="31"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57225" cy="400050"/>
                    </a:xfrm>
                    <a:prstGeom prst="rect">
                      <a:avLst/>
                    </a:prstGeom>
                    <a:noFill/>
                    <a:ln>
                      <a:noFill/>
                    </a:ln>
                  </pic:spPr>
                </pic:pic>
              </a:graphicData>
            </a:graphic>
          </wp:inline>
        </w:drawing>
      </w:r>
      <w:r>
        <w:rPr>
          <w:rFonts w:ascii="宋体" w:hAnsi="宋体"/>
          <w:sz w:val="48"/>
        </w:rPr>
        <w:fldChar w:fldCharType="end"/>
      </w:r>
    </w:p>
    <w:p>
      <w:pPr>
        <w:snapToGrid w:val="0"/>
        <w:jc w:val="right"/>
        <w:rPr>
          <w:rFonts w:ascii="仿宋_GB2312" w:hAnsi="方正小标宋简体" w:eastAsia="仿宋_GB2312" w:cs="方正小标宋简体"/>
          <w:kern w:val="0"/>
          <w:sz w:val="32"/>
          <w:szCs w:val="32"/>
        </w:rPr>
      </w:pPr>
    </w:p>
    <w:p>
      <w:pPr>
        <w:pStyle w:val="3"/>
        <w:snapToGrid w:val="0"/>
        <w:ind w:left="5250"/>
        <w:rPr>
          <w:rFonts w:ascii="仿宋_GB2312" w:eastAsia="仿宋_GB2312"/>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A0B85"/>
    <w:rsid w:val="23071600"/>
    <w:rsid w:val="23D246DC"/>
    <w:rsid w:val="2DF748B6"/>
    <w:rsid w:val="3EC0285A"/>
    <w:rsid w:val="435A0B85"/>
    <w:rsid w:val="4F1A5736"/>
    <w:rsid w:val="548755A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paragraph" w:customStyle="1" w:styleId="6">
    <w:name w:val="〔年号〕"/>
    <w:basedOn w:val="1"/>
    <w:qFormat/>
    <w:uiPriority w:val="0"/>
    <w:pPr>
      <w:adjustRightInd w:val="0"/>
      <w:snapToGrid w:val="0"/>
      <w:spacing w:beforeLines="100" w:afterLines="100"/>
      <w:jc w:val="center"/>
    </w:pPr>
    <w:rPr>
      <w:rFonts w:ascii="仿宋_GB2312" w:eastAsia="仿宋_GB2312" w:cs="仿宋_GB2312"/>
      <w:sz w:val="32"/>
      <w:szCs w:val="32"/>
    </w:rPr>
  </w:style>
  <w:style w:type="paragraph" w:customStyle="1" w:styleId="7">
    <w:name w:val="二级标题"/>
    <w:basedOn w:val="8"/>
    <w:qFormat/>
    <w:uiPriority w:val="0"/>
    <w:pPr>
      <w:ind w:firstLine="640"/>
    </w:pPr>
    <w:rPr>
      <w:rFonts w:ascii="方正黑体_GBK" w:hAnsi="黑体" w:eastAsia="方正黑体_GBK" w:cs="黑体"/>
      <w:sz w:val="32"/>
      <w:szCs w:val="32"/>
    </w:rPr>
  </w:style>
  <w:style w:type="paragraph" w:customStyle="1" w:styleId="8">
    <w:name w:val="List Paragraph1"/>
    <w:basedOn w:val="1"/>
    <w:qFormat/>
    <w:uiPriority w:val="99"/>
    <w:pPr>
      <w:ind w:firstLine="420" w:firstLineChars="200"/>
    </w:pPr>
    <w:rPr>
      <w:rFonts w:cs="Calibri"/>
      <w:szCs w:val="21"/>
    </w:rPr>
  </w:style>
  <w:style w:type="paragraph" w:customStyle="1" w:styleId="9">
    <w:name w:val="三级标题"/>
    <w:basedOn w:val="10"/>
    <w:qFormat/>
    <w:uiPriority w:val="0"/>
    <w:rPr>
      <w:rFonts w:ascii="楷体_GB2312" w:eastAsia="楷体_GB2312" w:cs="楷体_GB2312"/>
    </w:rPr>
  </w:style>
  <w:style w:type="paragraph" w:customStyle="1" w:styleId="10">
    <w:name w:val="汇编正文"/>
    <w:basedOn w:val="1"/>
    <w:qFormat/>
    <w:uiPriority w:val="0"/>
    <w:pPr>
      <w:ind w:firstLine="640" w:firstLineChars="200"/>
    </w:pPr>
    <w:rPr>
      <w:rFonts w:ascii="仿宋_GB2312" w:hAnsi="黑体" w:eastAsia="仿宋_GB2312" w:cs="黑体"/>
      <w:color w:val="000000"/>
      <w:sz w:val="32"/>
      <w:szCs w:val="32"/>
    </w:rPr>
  </w:style>
  <w:style w:type="paragraph" w:customStyle="1" w:styleId="11">
    <w:name w:val="汇编落款时间"/>
    <w:basedOn w:val="10"/>
    <w:qFormat/>
    <w:uiPriority w:val="0"/>
    <w:pPr>
      <w:ind w:right="630" w:rightChars="300" w:firstLine="0" w:firstLineChars="0"/>
      <w:jc w:val="righ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2018-09-18T02:53:00Z</dcterms:created>
  <dc:creator>孙峰</dc:creator>
  <cp:lastModifiedBy>时俊雅</cp:lastModifiedBy>
  <dcterms:modified xsi:type="dcterms:W3CDTF">2018-11-16T05:31:55Z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